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54" w:rsidRPr="0048531B" w:rsidRDefault="00C16454" w:rsidP="00C16454">
      <w:pPr>
        <w:jc w:val="center"/>
        <w:rPr>
          <w:rFonts w:ascii="Times New Roman" w:hAnsi="Times New Roman" w:cs="Times New Roman"/>
          <w:b/>
          <w:bCs/>
          <w:sz w:val="36"/>
          <w:szCs w:val="43"/>
        </w:rPr>
      </w:pPr>
      <w:r w:rsidRPr="0048531B">
        <w:rPr>
          <w:rFonts w:ascii="Times New Roman" w:hAnsi="Times New Roman" w:cs="Times New Roman"/>
          <w:b/>
          <w:bCs/>
          <w:sz w:val="36"/>
          <w:szCs w:val="43"/>
        </w:rPr>
        <w:t>ФЕДЕРАЛЬНАЯ АНТИМОНОПОЛЬНАЯ СЛУЖБА УПРАВЛЕНИЕ ПО ТОМСКОЙ ОБЛАСТИ</w:t>
      </w: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531B">
        <w:rPr>
          <w:rFonts w:ascii="Times New Roman" w:hAnsi="Times New Roman" w:cs="Times New Roman"/>
          <w:b/>
          <w:sz w:val="52"/>
          <w:szCs w:val="52"/>
        </w:rPr>
        <w:t xml:space="preserve">Доклад по правоприменительной практике Управления Федеральной антимонопольной службы </w:t>
      </w: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531B">
        <w:rPr>
          <w:rFonts w:ascii="Times New Roman" w:hAnsi="Times New Roman" w:cs="Times New Roman"/>
          <w:b/>
          <w:sz w:val="52"/>
          <w:szCs w:val="52"/>
        </w:rPr>
        <w:t>по Томской области</w:t>
      </w:r>
    </w:p>
    <w:p w:rsidR="00C16454" w:rsidRPr="0048531B" w:rsidRDefault="00D44307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531B">
        <w:rPr>
          <w:rFonts w:ascii="Times New Roman" w:hAnsi="Times New Roman" w:cs="Times New Roman"/>
          <w:b/>
          <w:sz w:val="52"/>
          <w:szCs w:val="52"/>
        </w:rPr>
        <w:t>за</w:t>
      </w:r>
      <w:r w:rsidR="00740500" w:rsidRPr="0048531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A50158" w:rsidRPr="0048531B">
        <w:rPr>
          <w:rFonts w:ascii="Times New Roman" w:hAnsi="Times New Roman" w:cs="Times New Roman"/>
          <w:b/>
          <w:sz w:val="52"/>
          <w:szCs w:val="52"/>
          <w:lang w:val="en-US"/>
        </w:rPr>
        <w:t>III</w:t>
      </w:r>
      <w:r w:rsidR="00A50158" w:rsidRPr="0048531B">
        <w:rPr>
          <w:rFonts w:ascii="Times New Roman" w:hAnsi="Times New Roman" w:cs="Times New Roman"/>
          <w:b/>
          <w:sz w:val="52"/>
          <w:szCs w:val="52"/>
        </w:rPr>
        <w:t xml:space="preserve"> квартал</w:t>
      </w:r>
      <w:r w:rsidR="00D1720B" w:rsidRPr="0048531B">
        <w:rPr>
          <w:rFonts w:ascii="Times New Roman" w:hAnsi="Times New Roman" w:cs="Times New Roman"/>
          <w:b/>
          <w:sz w:val="52"/>
          <w:szCs w:val="52"/>
        </w:rPr>
        <w:t xml:space="preserve"> 2018 года</w:t>
      </w:r>
    </w:p>
    <w:p w:rsidR="00C16454" w:rsidRPr="0048531B" w:rsidRDefault="00C16454" w:rsidP="00C1645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C16454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158" w:rsidRPr="0048531B" w:rsidRDefault="00A50158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0158" w:rsidRPr="0048531B" w:rsidRDefault="00A50158" w:rsidP="00C164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16454" w:rsidRPr="0048531B" w:rsidRDefault="00740500" w:rsidP="00A50158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31B">
        <w:rPr>
          <w:rFonts w:ascii="Times New Roman" w:hAnsi="Times New Roman" w:cs="Times New Roman"/>
          <w:sz w:val="26"/>
          <w:szCs w:val="26"/>
        </w:rPr>
        <w:t>Сентябрь 2018</w:t>
      </w:r>
    </w:p>
    <w:p w:rsidR="00821540" w:rsidRDefault="00740500" w:rsidP="00A2076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31B">
        <w:rPr>
          <w:sz w:val="28"/>
          <w:szCs w:val="28"/>
        </w:rPr>
        <w:lastRenderedPageBreak/>
        <w:t xml:space="preserve">Управление Федеральной антимонопольной службы по Томской области (далее – Томское УФАС России, Управление) является уполномоченным органом исполнительной власти и территориальным подразделением Федеральной антимонопольной службы. </w:t>
      </w:r>
      <w:proofErr w:type="gramStart"/>
      <w:r w:rsidRPr="0048531B">
        <w:rPr>
          <w:sz w:val="28"/>
          <w:szCs w:val="28"/>
        </w:rPr>
        <w:t>Томское</w:t>
      </w:r>
      <w:proofErr w:type="gramEnd"/>
      <w:r w:rsidRPr="0048531B">
        <w:rPr>
          <w:sz w:val="28"/>
          <w:szCs w:val="28"/>
        </w:rPr>
        <w:t xml:space="preserve"> УФАС России  осуществляет контроль за соблюдением ант</w:t>
      </w:r>
      <w:r w:rsidR="006D2B42" w:rsidRPr="0048531B">
        <w:rPr>
          <w:sz w:val="28"/>
          <w:szCs w:val="28"/>
        </w:rPr>
        <w:t xml:space="preserve">имонопольного законодательства, </w:t>
      </w:r>
      <w:r w:rsidRPr="0048531B">
        <w:rPr>
          <w:sz w:val="28"/>
          <w:szCs w:val="28"/>
        </w:rPr>
        <w:t>законодательств</w:t>
      </w:r>
      <w:r w:rsidR="00590DB3" w:rsidRPr="0048531B">
        <w:rPr>
          <w:sz w:val="28"/>
          <w:szCs w:val="28"/>
        </w:rPr>
        <w:t>а</w:t>
      </w:r>
      <w:r w:rsidRPr="0048531B">
        <w:rPr>
          <w:sz w:val="28"/>
          <w:szCs w:val="28"/>
        </w:rPr>
        <w:t xml:space="preserve"> в сфере деятельности субъектов </w:t>
      </w:r>
      <w:r w:rsidR="00450CA1" w:rsidRPr="0048531B">
        <w:rPr>
          <w:sz w:val="28"/>
          <w:szCs w:val="28"/>
        </w:rPr>
        <w:t xml:space="preserve">естественных монополий, в сфере закупок товаров, работ, услуг для обеспечения государственных и муниципальных нужд, </w:t>
      </w:r>
      <w:r w:rsidRPr="0048531B">
        <w:rPr>
          <w:sz w:val="28"/>
          <w:szCs w:val="28"/>
        </w:rPr>
        <w:t>закупок товаров, работ, услуг отдельными видами юридических лиц, а также законодательства о рекламе</w:t>
      </w:r>
      <w:r w:rsidRPr="00BC3C93">
        <w:rPr>
          <w:sz w:val="28"/>
          <w:szCs w:val="28"/>
        </w:rPr>
        <w:t xml:space="preserve">. </w:t>
      </w:r>
      <w:proofErr w:type="gramStart"/>
      <w:r w:rsidRPr="00BC3C93">
        <w:rPr>
          <w:sz w:val="28"/>
          <w:szCs w:val="28"/>
        </w:rPr>
        <w:t>Деятельность Том</w:t>
      </w:r>
      <w:r w:rsidR="00391590" w:rsidRPr="00BC3C93">
        <w:rPr>
          <w:sz w:val="28"/>
          <w:szCs w:val="28"/>
        </w:rPr>
        <w:t>ского УФАС России направлена на</w:t>
      </w:r>
      <w:r w:rsidR="00391590">
        <w:rPr>
          <w:sz w:val="28"/>
          <w:szCs w:val="28"/>
        </w:rPr>
        <w:t xml:space="preserve"> </w:t>
      </w:r>
      <w:r w:rsidR="00391590" w:rsidRPr="00391590">
        <w:rPr>
          <w:sz w:val="28"/>
          <w:szCs w:val="28"/>
        </w:rPr>
        <w:t>пресечение антиконкурентного поведения отдельных хозяйствующих субъектов на товарных и финансовых рынках, в том числе на снижение уровня недобросовестной конкуренции, предупреждение и пресечение злоупотреблений доминирующим положением, соглашений и согласованных действ</w:t>
      </w:r>
      <w:r w:rsidR="003E19D0">
        <w:rPr>
          <w:sz w:val="28"/>
          <w:szCs w:val="28"/>
        </w:rPr>
        <w:t>ий, ограничивающих конкуренцию (картельных сговоров</w:t>
      </w:r>
      <w:r w:rsidR="00391590" w:rsidRPr="00391590">
        <w:rPr>
          <w:sz w:val="28"/>
          <w:szCs w:val="28"/>
        </w:rPr>
        <w:t>), повышение качества проводимых исследований состояния конкурентной среды на товарных рынках.</w:t>
      </w:r>
      <w:proofErr w:type="gramEnd"/>
      <w:r w:rsidR="00391590" w:rsidRPr="00391590">
        <w:rPr>
          <w:sz w:val="28"/>
          <w:szCs w:val="28"/>
        </w:rPr>
        <w:t xml:space="preserve"> </w:t>
      </w:r>
      <w:r w:rsidR="003E19D0">
        <w:rPr>
          <w:sz w:val="28"/>
          <w:szCs w:val="28"/>
        </w:rPr>
        <w:t xml:space="preserve">Немаловажным для антимонопольного органа является </w:t>
      </w:r>
      <w:r w:rsidR="00391590" w:rsidRPr="00391590">
        <w:rPr>
          <w:sz w:val="28"/>
          <w:szCs w:val="28"/>
        </w:rPr>
        <w:t xml:space="preserve"> </w:t>
      </w:r>
      <w:r w:rsidR="003E19D0">
        <w:rPr>
          <w:sz w:val="28"/>
          <w:szCs w:val="28"/>
        </w:rPr>
        <w:t xml:space="preserve">и </w:t>
      </w:r>
      <w:proofErr w:type="gramStart"/>
      <w:r w:rsidR="00391590" w:rsidRPr="00391590">
        <w:rPr>
          <w:sz w:val="28"/>
          <w:szCs w:val="28"/>
        </w:rPr>
        <w:t>контрол</w:t>
      </w:r>
      <w:r w:rsidR="003E19D0">
        <w:rPr>
          <w:sz w:val="28"/>
          <w:szCs w:val="28"/>
        </w:rPr>
        <w:t>ь</w:t>
      </w:r>
      <w:r w:rsidR="00391590" w:rsidRPr="00391590">
        <w:rPr>
          <w:sz w:val="28"/>
          <w:szCs w:val="28"/>
        </w:rPr>
        <w:t xml:space="preserve"> за</w:t>
      </w:r>
      <w:proofErr w:type="gramEnd"/>
      <w:r w:rsidR="00391590" w:rsidRPr="00391590">
        <w:rPr>
          <w:sz w:val="28"/>
          <w:szCs w:val="28"/>
        </w:rPr>
        <w:t xml:space="preserve"> органами власти в целях предотвращения создания административных барьеров для осуществления предпринимательской деятельности. В рамках контроля органов власти выделяются три основных направления: контроль процедур размещения государственного и муниципального заказа; контроль предоставления государственных и муниципальных преференций отдельным участникам рынков; пресечение ограничивающих конкуренцию соглашений и согласованных действий органов государственной власти и местного самоуправления с отдельными хозяйствующими субъектами.</w:t>
      </w:r>
    </w:p>
    <w:p w:rsidR="00BC3C93" w:rsidRDefault="00740500" w:rsidP="00A2076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48531B">
        <w:rPr>
          <w:sz w:val="28"/>
          <w:szCs w:val="28"/>
        </w:rPr>
        <w:t xml:space="preserve">Основными целями </w:t>
      </w:r>
      <w:r w:rsidR="00590DB3" w:rsidRPr="0048531B">
        <w:rPr>
          <w:sz w:val="28"/>
          <w:szCs w:val="28"/>
        </w:rPr>
        <w:t>управления</w:t>
      </w:r>
      <w:r w:rsidRPr="0048531B">
        <w:rPr>
          <w:sz w:val="28"/>
          <w:szCs w:val="28"/>
        </w:rPr>
        <w:t xml:space="preserve"> являются </w:t>
      </w:r>
      <w:r w:rsidR="00BC3C93">
        <w:rPr>
          <w:sz w:val="28"/>
          <w:szCs w:val="28"/>
        </w:rPr>
        <w:t>б</w:t>
      </w:r>
      <w:r w:rsidR="00BC3C93" w:rsidRPr="00BC3C93">
        <w:rPr>
          <w:sz w:val="28"/>
          <w:szCs w:val="28"/>
        </w:rPr>
        <w:t>лагоприятная конкурентная среда в сферах деятельности хозяйствующих субъектов, не являющ</w:t>
      </w:r>
      <w:r w:rsidR="00BC3C93">
        <w:rPr>
          <w:sz w:val="28"/>
          <w:szCs w:val="28"/>
        </w:rPr>
        <w:t>ихся естественными монополиями; р</w:t>
      </w:r>
      <w:r w:rsidR="00BC3C93" w:rsidRPr="00BC3C93">
        <w:rPr>
          <w:sz w:val="28"/>
          <w:szCs w:val="28"/>
        </w:rPr>
        <w:t>авный доступ к товарам (работам, услугам) естественных монополий, и развитие конкуренции в потенциально конкурентных видах их деятельности;</w:t>
      </w:r>
      <w:r w:rsidR="00BC3C93">
        <w:rPr>
          <w:sz w:val="28"/>
          <w:szCs w:val="28"/>
        </w:rPr>
        <w:t xml:space="preserve"> п</w:t>
      </w:r>
      <w:r w:rsidR="00BC3C93" w:rsidRPr="00BC3C93">
        <w:rPr>
          <w:sz w:val="28"/>
          <w:szCs w:val="28"/>
        </w:rPr>
        <w:t xml:space="preserve">рекращение антиконкурентного вмешательства органов власти в </w:t>
      </w:r>
      <w:r w:rsidR="00BC3C93" w:rsidRPr="00BC3C93">
        <w:rPr>
          <w:sz w:val="28"/>
          <w:szCs w:val="28"/>
        </w:rPr>
        <w:lastRenderedPageBreak/>
        <w:t>функционирование рынков, высокая эффективность бюджетных расходов при размещении государств</w:t>
      </w:r>
      <w:r w:rsidR="00BC3C93">
        <w:rPr>
          <w:sz w:val="28"/>
          <w:szCs w:val="28"/>
        </w:rPr>
        <w:t>енного и муниципального заказа.</w:t>
      </w:r>
      <w:proofErr w:type="gramEnd"/>
    </w:p>
    <w:p w:rsidR="00593983" w:rsidRPr="0048531B" w:rsidRDefault="00593983" w:rsidP="00A2076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31B">
        <w:rPr>
          <w:sz w:val="28"/>
          <w:szCs w:val="28"/>
        </w:rPr>
        <w:t xml:space="preserve">Одной из наиболее важных сфер антимонопольного контроля является выявление и пресечение нарушений антимонопольного законодательства со стороны органов власти в связи с тем, что указанные нарушения могут приводить к отрицательным </w:t>
      </w:r>
      <w:proofErr w:type="gramStart"/>
      <w:r w:rsidRPr="0048531B">
        <w:rPr>
          <w:sz w:val="28"/>
          <w:szCs w:val="28"/>
        </w:rPr>
        <w:t>последствиям</w:t>
      </w:r>
      <w:proofErr w:type="gramEnd"/>
      <w:r w:rsidRPr="0048531B">
        <w:rPr>
          <w:sz w:val="28"/>
          <w:szCs w:val="28"/>
        </w:rPr>
        <w:t xml:space="preserve"> как для экономики страны, так и для всего общества в целом. </w:t>
      </w:r>
    </w:p>
    <w:p w:rsidR="009E2C07" w:rsidRPr="0048531B" w:rsidRDefault="009E2C07" w:rsidP="00A20760">
      <w:pPr>
        <w:pStyle w:val="a4"/>
        <w:tabs>
          <w:tab w:val="left" w:pos="992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8531B">
        <w:rPr>
          <w:sz w:val="28"/>
          <w:szCs w:val="28"/>
        </w:rPr>
        <w:t xml:space="preserve">За </w:t>
      </w:r>
      <w:r w:rsidR="00D1720B" w:rsidRPr="0048531B">
        <w:rPr>
          <w:sz w:val="28"/>
          <w:szCs w:val="28"/>
        </w:rPr>
        <w:t>8</w:t>
      </w:r>
      <w:r w:rsidRPr="0048531B">
        <w:rPr>
          <w:sz w:val="28"/>
          <w:szCs w:val="28"/>
        </w:rPr>
        <w:t xml:space="preserve"> месяцев </w:t>
      </w:r>
      <w:r w:rsidR="00593983" w:rsidRPr="0048531B">
        <w:rPr>
          <w:sz w:val="28"/>
          <w:szCs w:val="28"/>
        </w:rPr>
        <w:t xml:space="preserve"> 2018 года по результатам рассмотрения </w:t>
      </w:r>
      <w:r w:rsidR="00A42AD9" w:rsidRPr="0048531B">
        <w:rPr>
          <w:sz w:val="28"/>
          <w:szCs w:val="28"/>
        </w:rPr>
        <w:t>70</w:t>
      </w:r>
      <w:r w:rsidR="00593983" w:rsidRPr="0048531B">
        <w:rPr>
          <w:sz w:val="28"/>
          <w:szCs w:val="28"/>
        </w:rPr>
        <w:t xml:space="preserve"> заявлений о нарушении антимонопольного законодательства выдано </w:t>
      </w:r>
      <w:r w:rsidRPr="0048531B">
        <w:rPr>
          <w:sz w:val="28"/>
          <w:szCs w:val="28"/>
        </w:rPr>
        <w:t>28 предупреждений</w:t>
      </w:r>
      <w:r w:rsidR="00593983" w:rsidRPr="0048531B">
        <w:rPr>
          <w:sz w:val="28"/>
          <w:szCs w:val="28"/>
        </w:rPr>
        <w:t xml:space="preserve"> о прекращении нарушения антимонопольного законодательства. </w:t>
      </w:r>
      <w:r w:rsidRPr="0048531B">
        <w:rPr>
          <w:sz w:val="28"/>
          <w:szCs w:val="28"/>
        </w:rPr>
        <w:t xml:space="preserve"> </w:t>
      </w:r>
      <w:r w:rsidR="00593983" w:rsidRPr="0048531B">
        <w:rPr>
          <w:sz w:val="28"/>
          <w:szCs w:val="28"/>
        </w:rPr>
        <w:t xml:space="preserve">При этом </w:t>
      </w:r>
      <w:r w:rsidR="00F722BB">
        <w:rPr>
          <w:sz w:val="28"/>
          <w:szCs w:val="28"/>
        </w:rPr>
        <w:t>за</w:t>
      </w:r>
      <w:r w:rsidR="0069208F">
        <w:rPr>
          <w:sz w:val="28"/>
          <w:szCs w:val="28"/>
        </w:rPr>
        <w:t xml:space="preserve"> </w:t>
      </w:r>
      <w:r w:rsidR="00593983" w:rsidRPr="0048531B">
        <w:rPr>
          <w:sz w:val="28"/>
          <w:szCs w:val="28"/>
        </w:rPr>
        <w:t xml:space="preserve">аналогичный период 2017 года по результатам рассмотрения </w:t>
      </w:r>
      <w:r w:rsidR="00A42AD9" w:rsidRPr="0048531B">
        <w:rPr>
          <w:sz w:val="28"/>
          <w:szCs w:val="28"/>
        </w:rPr>
        <w:t>8</w:t>
      </w:r>
      <w:r w:rsidRPr="0048531B">
        <w:rPr>
          <w:sz w:val="28"/>
          <w:szCs w:val="28"/>
        </w:rPr>
        <w:t>7</w:t>
      </w:r>
      <w:r w:rsidR="00593983" w:rsidRPr="0048531B">
        <w:rPr>
          <w:sz w:val="28"/>
          <w:szCs w:val="28"/>
        </w:rPr>
        <w:t xml:space="preserve"> заявлений было выдано </w:t>
      </w:r>
      <w:r w:rsidRPr="0048531B">
        <w:rPr>
          <w:sz w:val="28"/>
          <w:szCs w:val="28"/>
        </w:rPr>
        <w:t>3</w:t>
      </w:r>
      <w:r w:rsidR="00D72E73" w:rsidRPr="0048531B">
        <w:rPr>
          <w:sz w:val="28"/>
          <w:szCs w:val="28"/>
        </w:rPr>
        <w:t>7</w:t>
      </w:r>
      <w:r w:rsidR="00593983" w:rsidRPr="0048531B">
        <w:rPr>
          <w:sz w:val="28"/>
          <w:szCs w:val="28"/>
        </w:rPr>
        <w:t xml:space="preserve"> предупреждение. </w:t>
      </w:r>
    </w:p>
    <w:p w:rsidR="009E2C07" w:rsidRPr="0048531B" w:rsidRDefault="00F722BB" w:rsidP="00A20760">
      <w:pPr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Наиболее распространёнными нарушениями антимонопольного законодательства среди рассмотренных </w:t>
      </w:r>
      <w:r w:rsidR="00593983" w:rsidRPr="0048531B">
        <w:rPr>
          <w:rFonts w:ascii="Times New Roman" w:hAnsi="Times New Roman" w:cs="Times New Roman"/>
          <w:sz w:val="28"/>
          <w:szCs w:val="28"/>
        </w:rPr>
        <w:t xml:space="preserve"> в </w:t>
      </w:r>
      <w:r w:rsidR="009E2C07" w:rsidRPr="0048531B">
        <w:rPr>
          <w:rFonts w:ascii="Times New Roman" w:hAnsi="Times New Roman" w:cs="Times New Roman"/>
          <w:sz w:val="28"/>
          <w:szCs w:val="28"/>
        </w:rPr>
        <w:t>3</w:t>
      </w:r>
      <w:r w:rsidR="00593983" w:rsidRPr="0048531B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>
        <w:rPr>
          <w:rFonts w:ascii="Times New Roman" w:hAnsi="Times New Roman" w:cs="Times New Roman"/>
          <w:sz w:val="28"/>
          <w:szCs w:val="28"/>
        </w:rPr>
        <w:t xml:space="preserve">заявлений является проведение закупок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единственного поставщика, т.е. </w:t>
      </w:r>
      <w:r w:rsidR="009E2C07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неконкурентны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9E2C07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="009E2C07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определения поставщика (подрядчика, исполнителя), при котором контракт заключается с конкретным юридическим или физическим лицом без проведения процедуры выбора поставщика. </w:t>
      </w:r>
      <w:proofErr w:type="gramEnd"/>
    </w:p>
    <w:p w:rsidR="00A375A2" w:rsidRPr="0048531B" w:rsidRDefault="00683E3F" w:rsidP="00A20760">
      <w:pPr>
        <w:spacing w:line="360" w:lineRule="auto"/>
        <w:ind w:right="140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 </w:t>
      </w:r>
      <w:r w:rsidR="0069208F" w:rsidRPr="0048531B">
        <w:rPr>
          <w:rFonts w:ascii="Times New Roman" w:hAnsi="Times New Roman" w:cs="Times New Roman"/>
          <w:sz w:val="28"/>
          <w:szCs w:val="28"/>
        </w:rPr>
        <w:t>Отсутствие публичной конкурентной процедуры в тех случаях, когда проведение такой процедуры обязательно в силу закона, может свидетельствовать о многочисленных правонарушениях.</w:t>
      </w:r>
      <w:r w:rsidR="0069208F">
        <w:rPr>
          <w:rFonts w:ascii="Times New Roman" w:hAnsi="Times New Roman" w:cs="Times New Roman"/>
          <w:sz w:val="28"/>
          <w:szCs w:val="28"/>
        </w:rPr>
        <w:t xml:space="preserve"> При этом в результате</w:t>
      </w:r>
      <w:r w:rsidRPr="0048531B">
        <w:rPr>
          <w:rFonts w:ascii="Times New Roman" w:hAnsi="Times New Roman" w:cs="Times New Roman"/>
          <w:sz w:val="28"/>
          <w:szCs w:val="28"/>
        </w:rPr>
        <w:t xml:space="preserve">  </w:t>
      </w:r>
      <w:r w:rsidR="0069208F">
        <w:rPr>
          <w:rFonts w:ascii="Times New Roman" w:hAnsi="Times New Roman" w:cs="Times New Roman"/>
          <w:sz w:val="28"/>
          <w:szCs w:val="28"/>
        </w:rPr>
        <w:t>«</w:t>
      </w:r>
      <w:r w:rsidRPr="0048531B">
        <w:rPr>
          <w:rFonts w:ascii="Times New Roman" w:hAnsi="Times New Roman" w:cs="Times New Roman"/>
          <w:sz w:val="28"/>
          <w:szCs w:val="28"/>
        </w:rPr>
        <w:t>дробления</w:t>
      </w:r>
      <w:r w:rsidR="0069208F">
        <w:rPr>
          <w:rFonts w:ascii="Times New Roman" w:hAnsi="Times New Roman" w:cs="Times New Roman"/>
          <w:sz w:val="28"/>
          <w:szCs w:val="28"/>
        </w:rPr>
        <w:t>»</w:t>
      </w:r>
      <w:r w:rsidRPr="0048531B">
        <w:rPr>
          <w:rFonts w:ascii="Times New Roman" w:hAnsi="Times New Roman" w:cs="Times New Roman"/>
          <w:sz w:val="28"/>
          <w:szCs w:val="28"/>
        </w:rPr>
        <w:t xml:space="preserve"> закупки </w:t>
      </w:r>
      <w:r w:rsidR="0069208F">
        <w:rPr>
          <w:rFonts w:ascii="Times New Roman" w:hAnsi="Times New Roman" w:cs="Times New Roman"/>
          <w:sz w:val="28"/>
          <w:szCs w:val="28"/>
        </w:rPr>
        <w:t xml:space="preserve">нарушается не только конкуренция, </w:t>
      </w:r>
      <w:r w:rsidRPr="0048531B">
        <w:rPr>
          <w:rFonts w:ascii="Times New Roman" w:hAnsi="Times New Roman" w:cs="Times New Roman"/>
          <w:sz w:val="28"/>
          <w:szCs w:val="28"/>
        </w:rPr>
        <w:t>но и конституционны</w:t>
      </w:r>
      <w:r w:rsidR="0069208F">
        <w:rPr>
          <w:rFonts w:ascii="Times New Roman" w:hAnsi="Times New Roman" w:cs="Times New Roman"/>
          <w:sz w:val="28"/>
          <w:szCs w:val="28"/>
        </w:rPr>
        <w:t>е</w:t>
      </w:r>
      <w:r w:rsidRPr="0048531B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69208F">
        <w:rPr>
          <w:rFonts w:ascii="Times New Roman" w:hAnsi="Times New Roman" w:cs="Times New Roman"/>
          <w:sz w:val="28"/>
          <w:szCs w:val="28"/>
        </w:rPr>
        <w:t xml:space="preserve">ы ее </w:t>
      </w:r>
      <w:r w:rsidRPr="0048531B">
        <w:rPr>
          <w:rFonts w:ascii="Times New Roman" w:hAnsi="Times New Roman" w:cs="Times New Roman"/>
          <w:sz w:val="28"/>
          <w:szCs w:val="28"/>
        </w:rPr>
        <w:t xml:space="preserve">поддержания и недопущения недобросовестной конкуренции. </w:t>
      </w:r>
    </w:p>
    <w:p w:rsidR="00C3684D" w:rsidRPr="0048531B" w:rsidRDefault="00A375A2" w:rsidP="00D1720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 </w:t>
      </w:r>
      <w:r w:rsidRPr="0048531B">
        <w:rPr>
          <w:rFonts w:ascii="Times New Roman" w:hAnsi="Times New Roman" w:cs="Times New Roman"/>
          <w:b/>
          <w:sz w:val="28"/>
          <w:szCs w:val="28"/>
        </w:rPr>
        <w:t xml:space="preserve">Примеры предупреждений, выданных Управлением </w:t>
      </w:r>
    </w:p>
    <w:p w:rsidR="009E2C07" w:rsidRPr="0048531B" w:rsidRDefault="0069208F" w:rsidP="00C3684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3 квартале 2018 года</w:t>
      </w:r>
    </w:p>
    <w:p w:rsidR="00A375A2" w:rsidRPr="0048531B" w:rsidRDefault="00D1720B" w:rsidP="00D1720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 №1</w:t>
      </w:r>
    </w:p>
    <w:p w:rsidR="009E2C07" w:rsidRPr="0048531B" w:rsidRDefault="009E2C07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28 июня 2018 года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Томское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УФАС России предупредило Администрацию Малиновского сельского поселения о прекращении действий, содержащих признаки нарушения антимонопольного законодательства.</w:t>
      </w:r>
    </w:p>
    <w:p w:rsidR="009E2C07" w:rsidRPr="0048531B" w:rsidRDefault="009E2C07" w:rsidP="00D1720B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Из прокуратуры Томского района в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областное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УФАС поступили материалы проверки исполнения администрацией поселения требований Закона о контрактной системе в сфере закупок. Из материалов следует, что в 2017 году Администрация заключила ряд муниципальных контрактов на выполнение работ, а именно:</w:t>
      </w:r>
    </w:p>
    <w:p w:rsidR="009E2C07" w:rsidRPr="0048531B" w:rsidRDefault="009E2C07" w:rsidP="00D1720B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- три муниципальных контракта на выполнение работ по очистке </w:t>
      </w:r>
      <w:proofErr w:type="spellStart"/>
      <w:r w:rsidRPr="0048531B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48531B">
        <w:rPr>
          <w:rFonts w:ascii="Times New Roman" w:hAnsi="Times New Roman" w:cs="Times New Roman"/>
          <w:sz w:val="28"/>
          <w:szCs w:val="28"/>
        </w:rPr>
        <w:t xml:space="preserve"> дорог с. Малиновка от снега; - договор поставки стальной трубы и договор поставки швеллера, металлических листов горячего проката; - три муниципальных контракта на оказание транспортных услуг по вывозу гравия на дороги Малиновского сельского поселения; - три муниципальных контракта на выполнение работ по изготовлению водонапорной башни с. Малиновка.</w:t>
      </w:r>
      <w:proofErr w:type="gramEnd"/>
    </w:p>
    <w:p w:rsidR="009E2C07" w:rsidRPr="0048531B" w:rsidRDefault="009E2C07" w:rsidP="00D1720B">
      <w:pPr>
        <w:suppressAutoHyphens/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Указанные контракты объединяет идентичность предмета контрактов в каждой группе. Предметом вышеуказанных муниципальных контрактов в каждом случае является выполнение работ, имеющих одинаковые характерные для них основные признаки, объединенных единой хозяйственной целью. </w:t>
      </w:r>
    </w:p>
    <w:p w:rsidR="009E2C07" w:rsidRPr="0048531B" w:rsidRDefault="009E2C07" w:rsidP="00D1720B">
      <w:pPr>
        <w:suppressAutoHyphens/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Заключенные муниципальные контракты в каждом случае образуют одну, но оформленную несколькими контрактами сделку, при этом сумма каждого контакта не превышает – 100 000 рублей.</w:t>
      </w:r>
    </w:p>
    <w:p w:rsidR="009E2C07" w:rsidRPr="0048531B" w:rsidRDefault="009E2C07" w:rsidP="00D1720B">
      <w:pPr>
        <w:suppressAutoHyphens/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Антимонопольный орган пришел к выводу, что в каждом из описанных случаев заказчик искусственно раздробил на несколько отдельных закупок единую закупку, которая в соответствии с действующим законодательством должна была проводиться публично. </w:t>
      </w:r>
    </w:p>
    <w:p w:rsidR="009E2C07" w:rsidRPr="0048531B" w:rsidRDefault="009E2C07" w:rsidP="00D1720B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Согласно положениям Закона о контрактной системе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В случае превышения указанной выше суммы необходимо проведение конкурентных процедур для определения поставщика. Законом установлен запрет на необоснованное сокращение числа участников закупки. </w:t>
      </w:r>
    </w:p>
    <w:p w:rsidR="009E2C07" w:rsidRPr="0048531B" w:rsidRDefault="009E2C07" w:rsidP="00D1720B">
      <w:pPr>
        <w:suppressAutoHyphens/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Дробление единой закупки на группу идентичных, сумма по каждой из которых не превышает 100 000 рублей, свидетельствует о намерении сторон уйти от соблюдения конкурсных процедур. </w:t>
      </w:r>
    </w:p>
    <w:p w:rsidR="009E2C07" w:rsidRPr="0048531B" w:rsidRDefault="009E2C07" w:rsidP="00D1720B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Оценив указанные факты, УФАС усмотрело в действиях Администрации Малиновского сельского поселения признаки нарушения ч.1 ст. 15 Закона о защите конкуренции, согласно которой органам местного самоуправления запрещается принимать акты и (или) осуществлять действия (бездействие), приводящие или способные привести к недопущению, ограничению, устранению конкуренции, что послужило основанием для выдачи предупреждений.</w:t>
      </w:r>
    </w:p>
    <w:p w:rsidR="009E2C07" w:rsidRPr="0048531B" w:rsidRDefault="009E2C07" w:rsidP="00D1720B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Антимонопольный орган предупредил Администрацию Малиновского сельского поселения о необходимости соблюдения Закона «О защите конкуренции». 12 июля 2018 года Администрация сообщила в УФАС о принятых в соответствии с предупреждениями мерах, что административный орган счел исполнением предупреждений. </w:t>
      </w:r>
    </w:p>
    <w:p w:rsidR="00D1720B" w:rsidRPr="0048531B" w:rsidRDefault="00D1720B" w:rsidP="00D1720B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 №2</w:t>
      </w:r>
    </w:p>
    <w:p w:rsidR="00961FBE" w:rsidRPr="0048531B" w:rsidRDefault="00D72E73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 </w:t>
      </w:r>
      <w:r w:rsidR="00961FBE" w:rsidRPr="0048531B">
        <w:rPr>
          <w:color w:val="000000"/>
          <w:sz w:val="28"/>
          <w:szCs w:val="28"/>
        </w:rPr>
        <w:t xml:space="preserve">21 и 22 июня 2018 года антимонопольный орган предупредил администрации </w:t>
      </w:r>
      <w:proofErr w:type="spellStart"/>
      <w:r w:rsidR="00961FBE" w:rsidRPr="0048531B">
        <w:rPr>
          <w:color w:val="000000"/>
          <w:sz w:val="28"/>
          <w:szCs w:val="28"/>
        </w:rPr>
        <w:t>Новокривошеинского</w:t>
      </w:r>
      <w:proofErr w:type="spellEnd"/>
      <w:r w:rsidR="00961FBE" w:rsidRPr="0048531B">
        <w:rPr>
          <w:color w:val="000000"/>
          <w:sz w:val="28"/>
          <w:szCs w:val="28"/>
        </w:rPr>
        <w:t xml:space="preserve">, </w:t>
      </w:r>
      <w:proofErr w:type="spellStart"/>
      <w:r w:rsidR="00961FBE" w:rsidRPr="0048531B">
        <w:rPr>
          <w:color w:val="000000"/>
          <w:sz w:val="28"/>
          <w:szCs w:val="28"/>
        </w:rPr>
        <w:t>Кривошеинского</w:t>
      </w:r>
      <w:proofErr w:type="spellEnd"/>
      <w:r w:rsidR="00961FBE" w:rsidRPr="0048531B">
        <w:rPr>
          <w:color w:val="000000"/>
          <w:sz w:val="28"/>
          <w:szCs w:val="28"/>
        </w:rPr>
        <w:t>, Красноярского и Петровского сельских поселений о необходимости соблюдения требований антимонопольного законодательства при осуществлении закупок, о недопустимости искусственного дробления закупок на суммы менее 100 тысяч рублей с целью ухода от конкурсных процедур.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Подробнее: 19 января 2017 года Администрация </w:t>
      </w:r>
      <w:proofErr w:type="spellStart"/>
      <w:r w:rsidRPr="0048531B">
        <w:rPr>
          <w:color w:val="000000"/>
          <w:sz w:val="28"/>
          <w:szCs w:val="28"/>
        </w:rPr>
        <w:t>Новокривошеинского</w:t>
      </w:r>
      <w:proofErr w:type="spellEnd"/>
      <w:r w:rsidRPr="0048531B">
        <w:rPr>
          <w:color w:val="000000"/>
          <w:sz w:val="28"/>
          <w:szCs w:val="28"/>
        </w:rPr>
        <w:t xml:space="preserve"> сельского поселения в соответствии с пунктом 4 части 1 статьи 93 Федерального закона «О контрактной системе в сфере закупок» заключила муниципальный контракт с индивидуальным предпринимателем К., носящим ту же фамилию, что и глава поселения. Предмет контракта - выполнение работ по очистке дорог от снега в с. </w:t>
      </w:r>
      <w:proofErr w:type="spellStart"/>
      <w:r w:rsidRPr="0048531B">
        <w:rPr>
          <w:color w:val="000000"/>
          <w:sz w:val="28"/>
          <w:szCs w:val="28"/>
        </w:rPr>
        <w:t>Новокривошеино</w:t>
      </w:r>
      <w:proofErr w:type="spellEnd"/>
      <w:r w:rsidRPr="0048531B">
        <w:rPr>
          <w:color w:val="000000"/>
          <w:sz w:val="28"/>
          <w:szCs w:val="28"/>
        </w:rPr>
        <w:t xml:space="preserve"> и с. Малиновка, цена контракта 99 450,0 рубля. По тем же основаниям Администрация 1 февраля, 24 марта, 13 ноября, 28 ноября, 8 декабря 2017 года заключила еще пять муниципальных контрактов с тем же предпринимателем, предметом которых также являлись работы по очистке дорог от </w:t>
      </w:r>
      <w:r w:rsidRPr="0048531B">
        <w:rPr>
          <w:color w:val="000000"/>
          <w:sz w:val="28"/>
          <w:szCs w:val="28"/>
        </w:rPr>
        <w:lastRenderedPageBreak/>
        <w:t xml:space="preserve">снега в с. </w:t>
      </w:r>
      <w:proofErr w:type="spellStart"/>
      <w:r w:rsidRPr="0048531B">
        <w:rPr>
          <w:color w:val="000000"/>
          <w:sz w:val="28"/>
          <w:szCs w:val="28"/>
        </w:rPr>
        <w:t>Новокривошеино</w:t>
      </w:r>
      <w:proofErr w:type="spellEnd"/>
      <w:r w:rsidRPr="0048531B">
        <w:rPr>
          <w:color w:val="000000"/>
          <w:sz w:val="28"/>
          <w:szCs w:val="28"/>
        </w:rPr>
        <w:t xml:space="preserve"> и с. Малиновка, цена контракта 91 700,0; 49 800,0; 25 900,0; 48 000,0; 56 500,0 рубля соответственно, на общую сумму 371 350,0 рубля.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8531B">
        <w:rPr>
          <w:color w:val="000000"/>
          <w:sz w:val="28"/>
          <w:szCs w:val="28"/>
        </w:rPr>
        <w:t>Контракты заключены с одним и тем же хозяйствующим субъектом как единственным поставщиком на сумму, не превышающую ста тысяч рублей в каждом отдельном случае.</w:t>
      </w:r>
      <w:r w:rsidRPr="0048531B">
        <w:rPr>
          <w:sz w:val="28"/>
          <w:szCs w:val="28"/>
        </w:rPr>
        <w:t xml:space="preserve"> При этом какая-либо публичная процедура выбора исполнителя работ на протяжении всего года не проводилась.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Аналогичным образом 16 января 2017 года Администрация Красноярского сельского поселения заключила контракт с Обществом с ограниченной ответственностью  «ЗПК </w:t>
      </w:r>
      <w:proofErr w:type="spellStart"/>
      <w:r w:rsidRPr="0048531B">
        <w:rPr>
          <w:color w:val="000000"/>
          <w:sz w:val="28"/>
          <w:szCs w:val="28"/>
        </w:rPr>
        <w:t>СибЛесТрейд</w:t>
      </w:r>
      <w:proofErr w:type="spellEnd"/>
      <w:r w:rsidRPr="0048531B">
        <w:rPr>
          <w:color w:val="000000"/>
          <w:sz w:val="28"/>
          <w:szCs w:val="28"/>
        </w:rPr>
        <w:t>», предмет которого - работы по механизированной снегоочистке дорог с. Красный Яр, цена контракта 98 000,00 рубля.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По тем же основаниям Администрация поселения 2 февраля и 1 декабря 2017 года заключила еще два контракта с ООО «ЗПК </w:t>
      </w:r>
      <w:proofErr w:type="spellStart"/>
      <w:r w:rsidRPr="0048531B">
        <w:rPr>
          <w:color w:val="000000"/>
          <w:sz w:val="28"/>
          <w:szCs w:val="28"/>
        </w:rPr>
        <w:t>СибЛесТрейд</w:t>
      </w:r>
      <w:proofErr w:type="spellEnd"/>
      <w:r w:rsidRPr="0048531B">
        <w:rPr>
          <w:color w:val="000000"/>
          <w:sz w:val="28"/>
          <w:szCs w:val="28"/>
        </w:rPr>
        <w:t>», всего не общую сумму 293 000,00 рубля.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531B">
        <w:rPr>
          <w:color w:val="000000"/>
          <w:sz w:val="28"/>
          <w:szCs w:val="28"/>
        </w:rPr>
        <w:t xml:space="preserve">1 июня 2017 года Администрация Красноярского сельского поселения заключила контракт с ООО  «ЗПК </w:t>
      </w:r>
      <w:proofErr w:type="spellStart"/>
      <w:r w:rsidRPr="0048531B">
        <w:rPr>
          <w:color w:val="000000"/>
          <w:sz w:val="28"/>
          <w:szCs w:val="28"/>
        </w:rPr>
        <w:t>СибЛесТрейд</w:t>
      </w:r>
      <w:proofErr w:type="spellEnd"/>
      <w:r w:rsidRPr="0048531B">
        <w:rPr>
          <w:color w:val="000000"/>
          <w:sz w:val="28"/>
          <w:szCs w:val="28"/>
        </w:rPr>
        <w:t>» на выполнение работ по отсыпке дорожного полотна поселения песчано-гравийной смесью с ценой контракта 99 000,00 рубля. 3 июля 2017 года с тем же субъектом для исполнения тех же работ администрация заключила еще один контракт с ценой - 96 563,00 рубля.</w:t>
      </w:r>
      <w:proofErr w:type="gramEnd"/>
      <w:r w:rsidRPr="0048531B">
        <w:rPr>
          <w:color w:val="000000"/>
          <w:sz w:val="28"/>
          <w:szCs w:val="28"/>
        </w:rPr>
        <w:t xml:space="preserve">  При этом оба контракта имели один и тот срок исполнения работ по контрактам – 31 декабря </w:t>
      </w:r>
      <w:r w:rsidRPr="0048531B">
        <w:rPr>
          <w:sz w:val="28"/>
          <w:szCs w:val="28"/>
        </w:rPr>
        <w:t>2017 г</w:t>
      </w:r>
      <w:r w:rsidRPr="0048531B">
        <w:rPr>
          <w:color w:val="000000"/>
          <w:sz w:val="28"/>
          <w:szCs w:val="28"/>
        </w:rPr>
        <w:t>. Суммарная цена контрактов превысила ограничение, установленное п.4 ч.1 ст.93 Закона «О контрактной системе в сфере закупок», и составила 195 563,0 рубля.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Подобным образом поступила и Администрация Петровского сельского поселения, которая 24 августа 2017 года заключила сразу 4 контракта с ООО «Водовод-М», предметом которых являлись работы по подводке к жилым домам по ул. Молодежной в </w:t>
      </w:r>
      <w:proofErr w:type="spellStart"/>
      <w:r w:rsidRPr="0048531B">
        <w:rPr>
          <w:color w:val="000000"/>
          <w:sz w:val="28"/>
          <w:szCs w:val="28"/>
        </w:rPr>
        <w:t>д</w:t>
      </w:r>
      <w:proofErr w:type="gramStart"/>
      <w:r w:rsidRPr="0048531B">
        <w:rPr>
          <w:color w:val="000000"/>
          <w:sz w:val="28"/>
          <w:szCs w:val="28"/>
        </w:rPr>
        <w:t>.Е</w:t>
      </w:r>
      <w:proofErr w:type="gramEnd"/>
      <w:r w:rsidRPr="0048531B">
        <w:rPr>
          <w:color w:val="000000"/>
          <w:sz w:val="28"/>
          <w:szCs w:val="28"/>
        </w:rPr>
        <w:t>лизарьево</w:t>
      </w:r>
      <w:proofErr w:type="spellEnd"/>
      <w:r w:rsidRPr="0048531B">
        <w:rPr>
          <w:color w:val="000000"/>
          <w:sz w:val="28"/>
          <w:szCs w:val="28"/>
        </w:rPr>
        <w:t xml:space="preserve"> сетей холодного водоснабжения, дата завершения работ по каждому из четырех контрактов - 30 октября 2017 года, суммарная цена контрактов превысила ограничение, установленное п.4 ч.1 ст.93 Закона «О контрактной системе» и составила 376 000,0 рубля.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531B">
        <w:rPr>
          <w:color w:val="000000"/>
          <w:sz w:val="28"/>
          <w:szCs w:val="28"/>
        </w:rPr>
        <w:lastRenderedPageBreak/>
        <w:t xml:space="preserve">Антимонопольный орган пришел к выводу, что заключение указанных контрактов в каждом из перечисленных случаев образуют одну, искусственно раздробленную и оформленную несколькими контрактами сделку, дробление единой закупки на группу идентичных, сумма по каждой из которых не превышает предусмотренного законом ограничения в 100 000 рублей, свидетельствует о намерении уйти от соблюдения конкурсных процедур. </w:t>
      </w:r>
      <w:proofErr w:type="gramEnd"/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>Администрации сельских поселений нарушили требования части 1, 5 статьи 24 Закона «О контрактной системе в сфере закупок», а именно при выборе способа определения поставщиков администрации совершили действия, приведшие к необоснованному сокращению числа участников закупки.</w:t>
      </w:r>
    </w:p>
    <w:p w:rsidR="00961FBE" w:rsidRPr="0048531B" w:rsidRDefault="00961FBE" w:rsidP="00D1720B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531B">
        <w:rPr>
          <w:color w:val="000000"/>
          <w:sz w:val="28"/>
          <w:szCs w:val="28"/>
        </w:rPr>
        <w:t>УФАС полагает, что описанные действия органов власти ограничивают конкуренцию на указанных рынках и как следствие содержат признаки нарушения статьи 15 Федерального закон «О защите конкуренции», согласно которой установлен запрет на ограничивающие конкуренцию акты и действия (бездействие) органов местного самоуправления, приводящие или способные привести к недопущению, ограничению, устранению конкуренции.</w:t>
      </w:r>
      <w:proofErr w:type="gramEnd"/>
    </w:p>
    <w:p w:rsidR="00961FBE" w:rsidRPr="0048531B" w:rsidRDefault="00961FBE" w:rsidP="00D1720B">
      <w:pPr>
        <w:spacing w:after="0" w:line="360" w:lineRule="auto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0F1" w:rsidRPr="009D70F1" w:rsidRDefault="00961FBE" w:rsidP="00D172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F1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выданных предупреждений </w:t>
      </w:r>
    </w:p>
    <w:p w:rsidR="00961FBE" w:rsidRPr="006D6969" w:rsidRDefault="0069208F" w:rsidP="00D1720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0F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D70F1" w:rsidRPr="009D70F1">
        <w:rPr>
          <w:rFonts w:ascii="Times New Roman" w:hAnsi="Times New Roman" w:cs="Times New Roman"/>
          <w:b/>
          <w:sz w:val="28"/>
          <w:szCs w:val="28"/>
        </w:rPr>
        <w:t>8 месяцев  2017-</w:t>
      </w:r>
      <w:r w:rsidR="00961FBE" w:rsidRPr="009D70F1">
        <w:rPr>
          <w:rFonts w:ascii="Times New Roman" w:hAnsi="Times New Roman" w:cs="Times New Roman"/>
          <w:b/>
          <w:sz w:val="28"/>
          <w:szCs w:val="28"/>
        </w:rPr>
        <w:t>2018</w:t>
      </w:r>
      <w:r w:rsidRPr="009D70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FBE" w:rsidRPr="009D70F1">
        <w:rPr>
          <w:rFonts w:ascii="Times New Roman" w:hAnsi="Times New Roman" w:cs="Times New Roman"/>
          <w:b/>
          <w:sz w:val="28"/>
          <w:szCs w:val="28"/>
        </w:rPr>
        <w:t>г</w:t>
      </w:r>
      <w:r w:rsidR="009D70F1" w:rsidRPr="009D70F1">
        <w:rPr>
          <w:rFonts w:ascii="Times New Roman" w:hAnsi="Times New Roman" w:cs="Times New Roman"/>
          <w:b/>
          <w:sz w:val="28"/>
          <w:szCs w:val="28"/>
        </w:rPr>
        <w:t>г.</w:t>
      </w:r>
    </w:p>
    <w:p w:rsidR="00961FBE" w:rsidRPr="0048531B" w:rsidRDefault="00961FBE" w:rsidP="00D172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1134"/>
        <w:gridCol w:w="1134"/>
        <w:gridCol w:w="1134"/>
        <w:gridCol w:w="1134"/>
        <w:gridCol w:w="1134"/>
        <w:gridCol w:w="1134"/>
      </w:tblGrid>
      <w:tr w:rsidR="00961FBE" w:rsidRPr="0048531B" w:rsidTr="009D70F1">
        <w:trPr>
          <w:trHeight w:val="709"/>
        </w:trPr>
        <w:tc>
          <w:tcPr>
            <w:tcW w:w="1384" w:type="dxa"/>
            <w:shd w:val="clear" w:color="auto" w:fill="auto"/>
          </w:tcPr>
          <w:p w:rsidR="00961FBE" w:rsidRPr="0048531B" w:rsidRDefault="00961FBE" w:rsidP="00D1720B">
            <w:pPr>
              <w:snapToGrid w:val="0"/>
              <w:spacing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Статьи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61FBE" w:rsidRPr="0048531B" w:rsidRDefault="00961FBE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Выдано</w:t>
            </w:r>
          </w:p>
          <w:p w:rsidR="00961FBE" w:rsidRPr="0048531B" w:rsidRDefault="00961FBE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 xml:space="preserve"> предупреждений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61FBE" w:rsidRPr="0048531B" w:rsidRDefault="00961FBE" w:rsidP="00D1720B">
            <w:pPr>
              <w:snapToGrid w:val="0"/>
              <w:spacing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Исполнено предупреждений</w:t>
            </w:r>
          </w:p>
        </w:tc>
        <w:tc>
          <w:tcPr>
            <w:tcW w:w="2268" w:type="dxa"/>
            <w:gridSpan w:val="2"/>
          </w:tcPr>
          <w:p w:rsidR="00961FBE" w:rsidRPr="0048531B" w:rsidRDefault="00961FBE" w:rsidP="00D1720B">
            <w:pPr>
              <w:snapToGrid w:val="0"/>
              <w:spacing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Не исполнено,  возбуждено дело</w:t>
            </w:r>
          </w:p>
        </w:tc>
        <w:tc>
          <w:tcPr>
            <w:tcW w:w="2268" w:type="dxa"/>
            <w:gridSpan w:val="2"/>
          </w:tcPr>
          <w:p w:rsidR="00961FBE" w:rsidRPr="0048531B" w:rsidRDefault="00961FBE" w:rsidP="00D1720B">
            <w:pPr>
              <w:snapToGrid w:val="0"/>
              <w:spacing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В стадии исполнения</w:t>
            </w:r>
          </w:p>
        </w:tc>
      </w:tr>
      <w:tr w:rsidR="00D72E73" w:rsidRPr="0048531B" w:rsidTr="009D70F1">
        <w:trPr>
          <w:trHeight w:val="655"/>
        </w:trPr>
        <w:tc>
          <w:tcPr>
            <w:tcW w:w="138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м.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8 м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.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м. 2017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м.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2018</w:t>
            </w:r>
          </w:p>
        </w:tc>
        <w:tc>
          <w:tcPr>
            <w:tcW w:w="1134" w:type="dxa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м.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2017</w:t>
            </w:r>
          </w:p>
        </w:tc>
        <w:tc>
          <w:tcPr>
            <w:tcW w:w="1134" w:type="dxa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 xml:space="preserve">м. 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2018</w:t>
            </w:r>
          </w:p>
        </w:tc>
        <w:tc>
          <w:tcPr>
            <w:tcW w:w="1134" w:type="dxa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м.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2017</w:t>
            </w:r>
          </w:p>
        </w:tc>
        <w:tc>
          <w:tcPr>
            <w:tcW w:w="1134" w:type="dxa"/>
          </w:tcPr>
          <w:p w:rsidR="00D72E73" w:rsidRPr="0048531B" w:rsidRDefault="009D70F1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 xml:space="preserve">8 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 xml:space="preserve">м. </w:t>
            </w:r>
          </w:p>
          <w:p w:rsidR="00D72E73" w:rsidRPr="0048531B" w:rsidRDefault="00D72E73" w:rsidP="00D1720B">
            <w:pPr>
              <w:snapToGrid w:val="0"/>
              <w:spacing w:after="0" w:line="360" w:lineRule="auto"/>
              <w:ind w:right="227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2018</w:t>
            </w:r>
          </w:p>
        </w:tc>
      </w:tr>
      <w:tr w:rsidR="00D72E73" w:rsidRPr="0048531B" w:rsidTr="009D70F1">
        <w:trPr>
          <w:trHeight w:val="819"/>
        </w:trPr>
        <w:tc>
          <w:tcPr>
            <w:tcW w:w="1384" w:type="dxa"/>
            <w:shd w:val="clear" w:color="auto" w:fill="auto"/>
          </w:tcPr>
          <w:p w:rsidR="00D72E73" w:rsidRPr="0048531B" w:rsidRDefault="00D72E73" w:rsidP="009D70F1">
            <w:pPr>
              <w:snapToGrid w:val="0"/>
              <w:spacing w:after="0" w:line="360" w:lineRule="auto"/>
              <w:ind w:right="227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п.3 ч.1 ст10</w:t>
            </w:r>
          </w:p>
        </w:tc>
        <w:tc>
          <w:tcPr>
            <w:tcW w:w="992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D72E73" w:rsidRPr="0048531B" w:rsidTr="009D70F1">
        <w:trPr>
          <w:trHeight w:val="691"/>
        </w:trPr>
        <w:tc>
          <w:tcPr>
            <w:tcW w:w="1384" w:type="dxa"/>
            <w:shd w:val="clear" w:color="auto" w:fill="auto"/>
          </w:tcPr>
          <w:p w:rsidR="00D72E73" w:rsidRPr="0048531B" w:rsidRDefault="009D70F1" w:rsidP="009D70F1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lang w:eastAsia="ar-SA"/>
              </w:rPr>
              <w:t>п.5 </w:t>
            </w:r>
            <w:r w:rsidR="00D72E73" w:rsidRPr="0048531B">
              <w:rPr>
                <w:rFonts w:ascii="Times New Roman" w:eastAsia="Arial Unicode MS" w:hAnsi="Times New Roman" w:cs="Times New Roman"/>
                <w:lang w:eastAsia="ar-SA"/>
              </w:rPr>
              <w:t>ч.1 ст.10</w:t>
            </w:r>
          </w:p>
        </w:tc>
        <w:tc>
          <w:tcPr>
            <w:tcW w:w="992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D72E73" w:rsidRPr="0048531B" w:rsidTr="009D70F1">
        <w:tc>
          <w:tcPr>
            <w:tcW w:w="1384" w:type="dxa"/>
            <w:shd w:val="clear" w:color="auto" w:fill="auto"/>
          </w:tcPr>
          <w:p w:rsidR="00D72E73" w:rsidRPr="0048531B" w:rsidRDefault="00D72E73" w:rsidP="009D70F1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ст.</w:t>
            </w:r>
            <w:r w:rsidRPr="0048531B">
              <w:rPr>
                <w:rFonts w:ascii="Times New Roman" w:hAnsi="Times New Roman" w:cs="Times New Roman"/>
              </w:rPr>
              <w:t>14</w:t>
            </w:r>
            <w:r w:rsidRPr="0048531B">
              <w:rPr>
                <w:rFonts w:ascii="Times New Roman" w:hAnsi="Times New Roman" w:cs="Times New Roman"/>
                <w:vertAlign w:val="superscript"/>
              </w:rPr>
              <w:t>1</w:t>
            </w:r>
            <w:r w:rsidRPr="0048531B">
              <w:rPr>
                <w:rFonts w:ascii="Times New Roman" w:hAnsi="Times New Roman" w:cs="Times New Roman"/>
              </w:rPr>
              <w:t>-14</w:t>
            </w:r>
            <w:r w:rsidRPr="0048531B">
              <w:rPr>
                <w:rFonts w:ascii="Times New Roman" w:hAnsi="Times New Roman" w:cs="Times New Roman"/>
                <w:vertAlign w:val="superscript"/>
              </w:rPr>
              <w:t xml:space="preserve">8   </w:t>
            </w:r>
          </w:p>
        </w:tc>
        <w:tc>
          <w:tcPr>
            <w:tcW w:w="992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</w:tr>
      <w:tr w:rsidR="00D72E73" w:rsidRPr="0048531B" w:rsidTr="009D70F1">
        <w:trPr>
          <w:trHeight w:val="303"/>
        </w:trPr>
        <w:tc>
          <w:tcPr>
            <w:tcW w:w="1384" w:type="dxa"/>
            <w:shd w:val="clear" w:color="auto" w:fill="auto"/>
          </w:tcPr>
          <w:p w:rsidR="00D72E73" w:rsidRPr="0048531B" w:rsidRDefault="00D72E73" w:rsidP="009D70F1">
            <w:pPr>
              <w:snapToGrid w:val="0"/>
              <w:spacing w:after="0"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 xml:space="preserve">ст. 15    </w:t>
            </w:r>
          </w:p>
        </w:tc>
        <w:tc>
          <w:tcPr>
            <w:tcW w:w="992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37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D72E73" w:rsidRPr="0048531B" w:rsidRDefault="0040113B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20</w:t>
            </w: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</w:p>
        </w:tc>
        <w:tc>
          <w:tcPr>
            <w:tcW w:w="1134" w:type="dxa"/>
          </w:tcPr>
          <w:p w:rsidR="00D72E73" w:rsidRPr="0048531B" w:rsidRDefault="0040113B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</w:tcPr>
          <w:p w:rsidR="00D72E73" w:rsidRPr="0048531B" w:rsidRDefault="00D72E73" w:rsidP="00D1720B">
            <w:pPr>
              <w:snapToGrid w:val="0"/>
              <w:spacing w:line="360" w:lineRule="auto"/>
              <w:ind w:right="227"/>
              <w:jc w:val="both"/>
              <w:rPr>
                <w:rFonts w:ascii="Times New Roman" w:eastAsia="Arial Unicode MS" w:hAnsi="Times New Roman" w:cs="Times New Roman"/>
                <w:lang w:eastAsia="ar-SA"/>
              </w:rPr>
            </w:pPr>
            <w:r w:rsidRPr="0048531B">
              <w:rPr>
                <w:rFonts w:ascii="Times New Roman" w:eastAsia="Arial Unicode MS" w:hAnsi="Times New Roman" w:cs="Times New Roman"/>
                <w:lang w:eastAsia="ar-SA"/>
              </w:rPr>
              <w:t>7</w:t>
            </w:r>
          </w:p>
        </w:tc>
      </w:tr>
    </w:tbl>
    <w:p w:rsidR="00590DB3" w:rsidRPr="006D6969" w:rsidRDefault="00590DB3" w:rsidP="006D6969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color w:val="333333"/>
        </w:rPr>
      </w:pPr>
      <w:r w:rsidRPr="0048531B">
        <w:rPr>
          <w:b/>
          <w:color w:val="333333"/>
          <w:sz w:val="28"/>
          <w:szCs w:val="28"/>
        </w:rPr>
        <w:lastRenderedPageBreak/>
        <w:t>Практика выявления и пресечения нарушений Закона о защите конкуренции</w:t>
      </w:r>
    </w:p>
    <w:p w:rsidR="00590DB3" w:rsidRPr="0048531B" w:rsidRDefault="00A42AD9" w:rsidP="00A20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</w:t>
      </w:r>
      <w:r w:rsidR="00590DB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D70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A729EA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110B2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месяцев 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0DB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2018 года наблюдается незначительное снижение (-5%) числа полученных </w:t>
      </w:r>
      <w:proofErr w:type="gramStart"/>
      <w:r w:rsidR="00590DB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Томским</w:t>
      </w:r>
      <w:proofErr w:type="gramEnd"/>
      <w:r w:rsidR="00590DB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УФАС России 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заявлений</w:t>
      </w:r>
      <w:r w:rsidR="00590DB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нарушении антимонопольного законодательства, которое можно проследить по динамике данных (таблица 1). </w:t>
      </w:r>
    </w:p>
    <w:p w:rsidR="00590DB3" w:rsidRPr="0048531B" w:rsidRDefault="00590DB3" w:rsidP="00A20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Значительно возросло общее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количество во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збужденных дел (125%), при этом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количество решений о признании нарушения антимонопольного законодательства осталось на уровне прошлого года. Вместе с тем, существенно поменялась 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структура выявленных нарушений: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450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% рост по ст. 17 (2/11), снижение с 9 до 0 по ст.15 135-ФЗ, что можно объяснить исполнением в срок предупреждений. </w:t>
      </w:r>
    </w:p>
    <w:p w:rsidR="00590DB3" w:rsidRPr="0048531B" w:rsidRDefault="00590DB3" w:rsidP="00D172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90DB3" w:rsidRPr="0048531B" w:rsidRDefault="009D70F1" w:rsidP="00D172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Сравнительная</w:t>
      </w:r>
      <w:r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таблиц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показателей в</w:t>
      </w:r>
      <w:r w:rsidR="00590DB3"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сфере </w:t>
      </w:r>
      <w:proofErr w:type="gramStart"/>
      <w:r w:rsidR="006D696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="006D696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исполнением </w:t>
      </w:r>
      <w:r w:rsidR="00590DB3"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антимонопольного законодательства</w:t>
      </w:r>
      <w:r w:rsidR="00590DB3"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C110B2"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590DB3" w:rsidRPr="0048531B" w:rsidRDefault="00590DB3" w:rsidP="00D1720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7"/>
        <w:gridCol w:w="776"/>
        <w:gridCol w:w="776"/>
        <w:gridCol w:w="777"/>
        <w:gridCol w:w="775"/>
        <w:gridCol w:w="779"/>
        <w:gridCol w:w="775"/>
        <w:gridCol w:w="775"/>
        <w:gridCol w:w="779"/>
        <w:gridCol w:w="905"/>
        <w:gridCol w:w="725"/>
        <w:gridCol w:w="775"/>
        <w:gridCol w:w="767"/>
      </w:tblGrid>
      <w:tr w:rsidR="00590DB3" w:rsidRPr="0048531B" w:rsidTr="00A729EA">
        <w:trPr>
          <w:trHeight w:val="1575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DB3" w:rsidRPr="0048531B" w:rsidRDefault="00590DB3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85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B3" w:rsidRPr="009D70F1" w:rsidRDefault="00590DB3" w:rsidP="00D17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заявлений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B3" w:rsidRPr="009D70F1" w:rsidRDefault="00590DB3" w:rsidP="00D17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Возбуждено дел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B3" w:rsidRPr="009D70F1" w:rsidRDefault="00590DB3" w:rsidP="00D17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решений о нарушении, с учетом исполненных предупреждений</w:t>
            </w: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DB3" w:rsidRPr="009D70F1" w:rsidRDefault="00590DB3" w:rsidP="00D1720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выданных предписаний</w:t>
            </w:r>
          </w:p>
        </w:tc>
      </w:tr>
      <w:tr w:rsidR="00A729EA" w:rsidRPr="0048531B" w:rsidTr="00A729EA">
        <w:trPr>
          <w:trHeight w:val="51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2017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2018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2017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2018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2017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2018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2017 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9D70F1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 2018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при-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</w:p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729EA" w:rsidRPr="0048531B" w:rsidTr="00A729EA">
        <w:trPr>
          <w:trHeight w:val="765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-83%</w:t>
            </w:r>
          </w:p>
        </w:tc>
      </w:tr>
      <w:tr w:rsidR="00A729EA" w:rsidRPr="0048531B" w:rsidTr="00A729E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</w:tr>
      <w:tr w:rsidR="00A729EA" w:rsidRPr="0048531B" w:rsidTr="00A729EA">
        <w:trPr>
          <w:trHeight w:val="51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ст. 11, 11.1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40113B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40113B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A729EA"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9EA" w:rsidRPr="0048531B" w:rsidTr="00A729EA">
        <w:trPr>
          <w:trHeight w:val="51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ст. 14</w:t>
            </w: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9EA" w:rsidRPr="0048531B" w:rsidTr="00A729E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-44%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9EA" w:rsidRPr="0048531B" w:rsidTr="00A729E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9EA" w:rsidRPr="0048531B" w:rsidTr="00A729E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450%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29EA" w:rsidRPr="0048531B" w:rsidTr="00A729EA">
        <w:trPr>
          <w:trHeight w:val="300"/>
        </w:trPr>
        <w:tc>
          <w:tcPr>
            <w:tcW w:w="4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17.1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500%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9EA" w:rsidRPr="009D70F1" w:rsidRDefault="00A729EA" w:rsidP="00D1720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D70F1" w:rsidRDefault="009D70F1" w:rsidP="006D6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DB3" w:rsidRDefault="00590DB3" w:rsidP="00A20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отчетном периоде вынесено </w:t>
      </w:r>
      <w:r w:rsidR="00A42AD9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решения о нарушения статьи 10 Закона №135-ФЗ «О защите конкуренции». </w:t>
      </w:r>
      <w:r w:rsidR="0040113B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неисполнение предупреждения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возбуждено одно дело по ст.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Закона о защите конкуренции.</w:t>
      </w:r>
    </w:p>
    <w:p w:rsidR="006D6969" w:rsidRPr="0048531B" w:rsidRDefault="006D6969" w:rsidP="006D69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0DB3" w:rsidRPr="0048531B" w:rsidRDefault="00590DB3" w:rsidP="00D172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853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Результаты контроля за ограничивающими конкуренцию соглашениями, согласованными действиями.</w:t>
      </w:r>
    </w:p>
    <w:p w:rsidR="00590DB3" w:rsidRPr="0048531B" w:rsidRDefault="00590DB3" w:rsidP="00D1720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0DB3" w:rsidRPr="0048531B" w:rsidRDefault="00590DB3" w:rsidP="00A20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Данного рода дела в практике антимонопольных органов являются наиболее сложными в части сбора доказательств, особенно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нарушение происходит в виде сговора (согласованных действий)</w:t>
      </w:r>
      <w:r w:rsidR="006D6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не оформлены в документарном виде. При этом</w:t>
      </w:r>
      <w:proofErr w:type="gramStart"/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данные нарушения являются одними из наиболее опасных нарушений антимонопольного законодательства.</w:t>
      </w:r>
    </w:p>
    <w:p w:rsidR="0040113B" w:rsidRPr="00A02AED" w:rsidRDefault="00590DB3" w:rsidP="00A2076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отчетный период управлением нарушения в данной об</w:t>
      </w:r>
      <w:r w:rsid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ласти выявлены не были, однако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производстве </w:t>
      </w:r>
      <w:r w:rsid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Томского УФАС России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находилось 9 дел</w:t>
      </w:r>
      <w:r w:rsid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возбужденных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п.2 ч.1 ст.11</w:t>
      </w:r>
      <w:r w:rsid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2AED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о защите конкуренции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 июле 2018 года объединены в одно дело.</w:t>
      </w:r>
      <w:r w:rsidR="00DB4ED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Возбуждены 4 дела по ч.4ст.11</w:t>
      </w:r>
      <w:r w:rsidR="00A02AED" w:rsidRP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02AED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№135-ФЗ «О защите конкуренции»</w:t>
      </w:r>
      <w:r w:rsidR="00DB4ED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2017 году </w:t>
      </w:r>
      <w:r w:rsidRPr="00A207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первом полугодии возбуждалось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дела о нарушении ст.11 </w:t>
      </w:r>
      <w:bookmarkStart w:id="0" w:name="OLE_LINK4"/>
      <w:bookmarkStart w:id="1" w:name="OLE_LINK5"/>
      <w:bookmarkStart w:id="2" w:name="OLE_LINK6"/>
      <w:r w:rsidR="00585CF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№</w:t>
      </w:r>
      <w:r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135-ФЗ</w:t>
      </w:r>
      <w:r w:rsidR="00585CF3" w:rsidRPr="004853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защите конкуренции»</w:t>
      </w:r>
      <w:bookmarkEnd w:id="0"/>
      <w:bookmarkEnd w:id="1"/>
      <w:bookmarkEnd w:id="2"/>
      <w:r w:rsidR="00A02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90DB3" w:rsidRPr="00A20760" w:rsidRDefault="0040113B" w:rsidP="00A20760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207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Пример</w:t>
      </w:r>
      <w:r w:rsidR="00590DB3" w:rsidRPr="00A2076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 </w:t>
      </w:r>
    </w:p>
    <w:p w:rsidR="0040113B" w:rsidRPr="0048531B" w:rsidRDefault="0040113B" w:rsidP="00A2076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Томское УФАС России возбудило дело по признакам нарушения ч.4 ст.11 Федерального закона «О защите конкуренции» в отношении МУП АГП «Энергия-Т1» и ООО "МЦТТ",  по признакам заключения </w:t>
      </w:r>
      <w:proofErr w:type="spellStart"/>
      <w:r w:rsidRPr="0048531B">
        <w:rPr>
          <w:color w:val="000000"/>
          <w:sz w:val="28"/>
          <w:szCs w:val="28"/>
        </w:rPr>
        <w:t>акнтиконкурентного</w:t>
      </w:r>
      <w:proofErr w:type="spellEnd"/>
      <w:r w:rsidRPr="0048531B">
        <w:rPr>
          <w:color w:val="000000"/>
          <w:sz w:val="28"/>
          <w:szCs w:val="28"/>
        </w:rPr>
        <w:t xml:space="preserve"> соглашения на рынке каменного угля. Для МУП АГП «Энергия-Т1» это уже второе дело с аналогичными признаками нарушения.</w:t>
      </w:r>
    </w:p>
    <w:p w:rsidR="0040113B" w:rsidRPr="0048531B" w:rsidRDefault="0040113B" w:rsidP="00A2076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>Подробнее: поводом к пристальному вниманию антимонопольного органа послужило обращение ООО «</w:t>
      </w:r>
      <w:proofErr w:type="spellStart"/>
      <w:r w:rsidRPr="0048531B">
        <w:rPr>
          <w:color w:val="000000"/>
          <w:sz w:val="28"/>
          <w:szCs w:val="28"/>
        </w:rPr>
        <w:t>Трансвуд</w:t>
      </w:r>
      <w:proofErr w:type="spellEnd"/>
      <w:r w:rsidRPr="0048531B">
        <w:rPr>
          <w:color w:val="000000"/>
          <w:sz w:val="28"/>
          <w:szCs w:val="28"/>
        </w:rPr>
        <w:t>»  о нарушении МУП АГП «Энергия-Т1» Федерального закона «О контрактной системе в сфере закупок» при проведении закупок каменного угля.</w:t>
      </w:r>
    </w:p>
    <w:p w:rsidR="0040113B" w:rsidRPr="0048531B" w:rsidRDefault="0040113B" w:rsidP="00A2076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 xml:space="preserve">Анализ договоров, заключенных в порядке п.9 ч.1 ст.93 Закона о контрактной системе (с единственным поставщиком), показал многочисленное количество </w:t>
      </w:r>
      <w:r w:rsidRPr="0048531B">
        <w:rPr>
          <w:color w:val="000000"/>
          <w:sz w:val="28"/>
          <w:szCs w:val="28"/>
        </w:rPr>
        <w:lastRenderedPageBreak/>
        <w:t xml:space="preserve">фактов заключения договоров на сумму до 100 тысяч рублей каждый без проведения конкурентных процедур. Договоры заключались на идентичный предмет в незначительный период времени, что позволяет говорить об умышленном разделении предмета поставки заказчиком на множество отдельных договоров в целях </w:t>
      </w:r>
      <w:proofErr w:type="spellStart"/>
      <w:r w:rsidRPr="0048531B">
        <w:rPr>
          <w:color w:val="000000"/>
          <w:sz w:val="28"/>
          <w:szCs w:val="28"/>
        </w:rPr>
        <w:t>непроведения</w:t>
      </w:r>
      <w:proofErr w:type="spellEnd"/>
      <w:r w:rsidRPr="0048531B">
        <w:rPr>
          <w:color w:val="000000"/>
          <w:sz w:val="28"/>
          <w:szCs w:val="28"/>
        </w:rPr>
        <w:t xml:space="preserve"> конкурентных процедур. Так, например, в период с 13 по 16 апреля 2018 года заказчиком заключено 5 таких договоров с одним и тем же субъектом  - ООО "МЦТТ" на общую сумму 499 930 рублей.</w:t>
      </w:r>
    </w:p>
    <w:p w:rsidR="0040113B" w:rsidRPr="0048531B" w:rsidRDefault="0040113B" w:rsidP="00A20760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8531B">
        <w:rPr>
          <w:color w:val="000000"/>
          <w:sz w:val="28"/>
          <w:szCs w:val="28"/>
        </w:rPr>
        <w:t>В описанных действиях заказчика антимонопольный орган усмотрел признаки ограничения конкуренции, послужившие основанием для возбуждения дела по ч.4 статьи 11 Закона о защите конкуренции, согласно которой запрещаются иные соглашения между хозяйствующими субъектами (за исключением «вертикальных» соглашений, которые признаются допустимыми в соответствии со статьей 12 ФЗ «О защите конкуренции»), если установлено, что такие соглашения приводят или могут привести к ограничению конкуренции.</w:t>
      </w:r>
      <w:proofErr w:type="gramEnd"/>
    </w:p>
    <w:p w:rsidR="00957D84" w:rsidRPr="000F438D" w:rsidRDefault="00957D84" w:rsidP="000F438D">
      <w:pPr>
        <w:pStyle w:val="3"/>
        <w:numPr>
          <w:ilvl w:val="0"/>
          <w:numId w:val="0"/>
        </w:numPr>
        <w:spacing w:line="360" w:lineRule="auto"/>
        <w:ind w:left="643"/>
        <w:rPr>
          <w:bCs/>
          <w:color w:val="333333"/>
        </w:rPr>
      </w:pPr>
      <w:r w:rsidRPr="0048531B">
        <w:rPr>
          <w:bCs/>
          <w:color w:val="333333"/>
        </w:rPr>
        <w:t>Практика применения мер административной ответственности за нарушения ан</w:t>
      </w:r>
      <w:r w:rsidR="00A02AED">
        <w:rPr>
          <w:bCs/>
          <w:color w:val="333333"/>
        </w:rPr>
        <w:t>тимонопольного законодательства</w:t>
      </w:r>
    </w:p>
    <w:p w:rsidR="00D44307" w:rsidRPr="0048531B" w:rsidRDefault="00F62A99" w:rsidP="00F62A99">
      <w:pPr>
        <w:pStyle w:val="a4"/>
        <w:shd w:val="clear" w:color="auto" w:fill="FFFFFF"/>
        <w:spacing w:before="0" w:beforeAutospacing="0" w:after="75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8531B">
        <w:rPr>
          <w:color w:val="000000"/>
          <w:sz w:val="28"/>
          <w:szCs w:val="28"/>
        </w:rPr>
        <w:t>З</w:t>
      </w:r>
      <w:r w:rsidR="00D44307" w:rsidRPr="0048531B">
        <w:rPr>
          <w:color w:val="000000"/>
          <w:sz w:val="28"/>
          <w:szCs w:val="28"/>
        </w:rPr>
        <w:t xml:space="preserve">а </w:t>
      </w:r>
      <w:r w:rsidR="00957D84" w:rsidRPr="0048531B">
        <w:rPr>
          <w:color w:val="000000"/>
          <w:sz w:val="28"/>
          <w:szCs w:val="28"/>
        </w:rPr>
        <w:t>8 месяцев</w:t>
      </w:r>
      <w:r w:rsidR="00D44307" w:rsidRPr="0048531B">
        <w:rPr>
          <w:color w:val="000000"/>
          <w:sz w:val="28"/>
          <w:szCs w:val="28"/>
        </w:rPr>
        <w:t xml:space="preserve"> 2018</w:t>
      </w:r>
      <w:r w:rsidR="00A02AED">
        <w:rPr>
          <w:color w:val="000000"/>
          <w:sz w:val="28"/>
          <w:szCs w:val="28"/>
        </w:rPr>
        <w:t xml:space="preserve"> </w:t>
      </w:r>
      <w:r w:rsidR="00D44307" w:rsidRPr="0048531B">
        <w:rPr>
          <w:color w:val="000000"/>
          <w:sz w:val="28"/>
          <w:szCs w:val="28"/>
        </w:rPr>
        <w:t xml:space="preserve">года </w:t>
      </w:r>
      <w:r w:rsidRPr="0048531B">
        <w:rPr>
          <w:color w:val="000000"/>
          <w:sz w:val="28"/>
          <w:szCs w:val="28"/>
        </w:rPr>
        <w:t xml:space="preserve">Томским УФАС России </w:t>
      </w:r>
      <w:r w:rsidR="00D44307" w:rsidRPr="0048531B">
        <w:rPr>
          <w:color w:val="000000"/>
          <w:sz w:val="28"/>
          <w:szCs w:val="28"/>
        </w:rPr>
        <w:t xml:space="preserve"> выдано </w:t>
      </w:r>
      <w:r w:rsidR="00957D84" w:rsidRPr="0048531B">
        <w:rPr>
          <w:color w:val="000000"/>
          <w:sz w:val="28"/>
          <w:szCs w:val="28"/>
        </w:rPr>
        <w:t>8</w:t>
      </w:r>
      <w:r w:rsidR="00D44307" w:rsidRPr="0048531B">
        <w:rPr>
          <w:color w:val="000000"/>
          <w:sz w:val="28"/>
          <w:szCs w:val="28"/>
        </w:rPr>
        <w:t>5 постановлений о наложении административного штрафа за нарушение антимонопольного законодатель</w:t>
      </w:r>
      <w:r w:rsidR="00725799">
        <w:rPr>
          <w:color w:val="000000"/>
          <w:sz w:val="28"/>
          <w:szCs w:val="28"/>
        </w:rPr>
        <w:t xml:space="preserve">ства на сумму  887 тыс. рублей, </w:t>
      </w:r>
      <w:r w:rsidR="00725799" w:rsidRPr="0048531B">
        <w:rPr>
          <w:color w:val="000000"/>
          <w:sz w:val="28"/>
          <w:szCs w:val="28"/>
        </w:rPr>
        <w:t xml:space="preserve">с учетом </w:t>
      </w:r>
      <w:r w:rsidR="00725799">
        <w:rPr>
          <w:color w:val="000000"/>
          <w:sz w:val="28"/>
          <w:szCs w:val="28"/>
        </w:rPr>
        <w:t xml:space="preserve">вынесенных постановлений </w:t>
      </w:r>
      <w:r w:rsidR="00725799" w:rsidRPr="0048531B">
        <w:rPr>
          <w:color w:val="000000"/>
          <w:sz w:val="28"/>
          <w:szCs w:val="28"/>
        </w:rPr>
        <w:t>2017</w:t>
      </w:r>
      <w:r w:rsidR="00725799">
        <w:rPr>
          <w:color w:val="000000"/>
          <w:sz w:val="28"/>
          <w:szCs w:val="28"/>
        </w:rPr>
        <w:t xml:space="preserve"> </w:t>
      </w:r>
      <w:r w:rsidR="00725799" w:rsidRPr="0048531B">
        <w:rPr>
          <w:color w:val="000000"/>
          <w:sz w:val="28"/>
          <w:szCs w:val="28"/>
        </w:rPr>
        <w:t xml:space="preserve">года </w:t>
      </w:r>
      <w:r w:rsidR="00725799">
        <w:rPr>
          <w:color w:val="000000"/>
          <w:sz w:val="28"/>
          <w:szCs w:val="28"/>
        </w:rPr>
        <w:t>оплачено штрафов на сумму</w:t>
      </w:r>
      <w:r w:rsidR="00D44307" w:rsidRPr="0048531B">
        <w:rPr>
          <w:color w:val="000000"/>
          <w:sz w:val="28"/>
          <w:szCs w:val="28"/>
        </w:rPr>
        <w:t xml:space="preserve"> 1 млн. рублей.</w:t>
      </w:r>
    </w:p>
    <w:p w:rsidR="008A07E5" w:rsidRDefault="00AF685A" w:rsidP="00957D8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F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Особенности </w:t>
      </w:r>
      <w:proofErr w:type="gramStart"/>
      <w:r w:rsidRPr="00AF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контроля за</w:t>
      </w:r>
      <w:proofErr w:type="gramEnd"/>
      <w:r w:rsidRPr="00AF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соблюдением рекламного законодательства </w:t>
      </w:r>
    </w:p>
    <w:p w:rsidR="00590DB3" w:rsidRPr="00AF685A" w:rsidRDefault="00AF685A" w:rsidP="008A07E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F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 </w:t>
      </w:r>
      <w:r w:rsidRPr="00AF685A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>III</w:t>
      </w:r>
      <w:r w:rsidRPr="00AF685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квартале 2018 года</w:t>
      </w:r>
    </w:p>
    <w:p w:rsidR="000F438D" w:rsidRPr="009D70F1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MON_1596868924"/>
      <w:bookmarkEnd w:id="3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14.07.2018 вступили в силу изменения в 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13.03.2006 № 38-ФЗ «О рекламе».</w:t>
      </w:r>
    </w:p>
    <w:p w:rsid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Федеральным законом от 03.07.2018 № 182-ФЗ «О внесении изменений в Федеральный закон «О рекламе» </w:t>
      </w:r>
      <w:r w:rsidR="008A07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Федеральный закон «О рекламе»</w:t>
      </w: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7E5"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="008A07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поправки,</w:t>
      </w:r>
      <w:r w:rsidR="008A07E5"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исключающие проведение антимонопольными органами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проверок в сфере рекламы.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Таким образом, с 14.07.2018 проведение плановых проверок при осуществлении федерального государственного надзор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области рекламы отменяется.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порядок осуществления антимонопольными органами иных надзорных мероприятий: внеплановых проверок, возбуждения и рассмотрения дел по признакам нарушения законодательства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 рекламе остается прежним. 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тем, указанный Федеральный закон уточняет перечень оснований для проведения внеплановых проверок при организации государств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надзора в сфере рекламы.</w:t>
      </w: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новой редакции части 4 статьи 35.1 Федерального закона  «О рекламе» основаниями для поведения внеплановой проверки являются: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 при проведении мероприятий без взаимодействия с юридическими лицами, индивидуальными предпринимателями при осуществлении видов государственного контроля (надзора), указанных в частях 1 и 2 статьи 8.1 Федерального закона от 26.12.2008 № 292-ФЗ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параметров деятельности юридического лица, индивидуального предпринимателя, соответствие которым или отклонение от которых согласно утвержденным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государственного контроля (надзора) индикаторам риска является основанием для проведения внеплановой проверки, которое предусмотрено в </w:t>
      </w: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виде федерального государственного контроля (надзора);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</w:t>
      </w: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0F438D" w:rsidRPr="000F438D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-мотивированное представление должностного лица антимонопольного органа по результатам анализа результатов наблюдения за соблюдением обязательных требований при распространении рекламы, рассмотрения или предварительной проверки поступивших в антимонопольный орган обращений и заявлений граждан, в том числе индивидуальных предпринимателей, юридических лиц, информации от органов государственной власти, должностных лиц антимонопольного органа, органов местного самоуправления, из средств массовой информации о фактах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ушения обязательных требований</w:t>
      </w: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End"/>
    </w:p>
    <w:p w:rsidR="00456A83" w:rsidRDefault="000F438D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подготовлены изменения в часть 9 статьи 19, пункт 2 части 11 статьи 19, часть 14 статьи 19, пункт 1 части 18 статьи 19  Федерального закона «О рекламе», которые вступят в силу с 01.10.2018. Данные изменения касаются применения формы электронного документа с использованием единого портала государственных и муниципальных услуг и (или) региональных порталов государств</w:t>
      </w:r>
      <w:r w:rsidR="00456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и муниципальных услуг.  </w:t>
      </w:r>
    </w:p>
    <w:p w:rsidR="00456A83" w:rsidRDefault="00456A83" w:rsidP="00A2076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83">
        <w:rPr>
          <w:rFonts w:ascii="Times New Roman" w:hAnsi="Times New Roman" w:cs="Times New Roman"/>
          <w:sz w:val="28"/>
          <w:szCs w:val="28"/>
        </w:rPr>
        <w:t xml:space="preserve">За </w:t>
      </w:r>
      <w:r w:rsidR="0073002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0024" w:rsidRPr="00730024">
        <w:rPr>
          <w:rFonts w:ascii="Times New Roman" w:hAnsi="Times New Roman" w:cs="Times New Roman"/>
          <w:sz w:val="28"/>
          <w:szCs w:val="28"/>
        </w:rPr>
        <w:t xml:space="preserve"> </w:t>
      </w:r>
      <w:r w:rsidR="00730024">
        <w:rPr>
          <w:rFonts w:ascii="Times New Roman" w:hAnsi="Times New Roman" w:cs="Times New Roman"/>
          <w:sz w:val="28"/>
          <w:szCs w:val="28"/>
        </w:rPr>
        <w:t>квартал</w:t>
      </w:r>
      <w:r w:rsidRPr="00456A83">
        <w:rPr>
          <w:rFonts w:ascii="Times New Roman" w:hAnsi="Times New Roman" w:cs="Times New Roman"/>
          <w:sz w:val="28"/>
          <w:szCs w:val="28"/>
        </w:rPr>
        <w:t xml:space="preserve"> 2018 года </w:t>
      </w:r>
      <w:proofErr w:type="gramStart"/>
      <w:r w:rsidRPr="00456A83">
        <w:rPr>
          <w:rFonts w:ascii="Times New Roman" w:hAnsi="Times New Roman" w:cs="Times New Roman"/>
          <w:sz w:val="28"/>
          <w:szCs w:val="28"/>
        </w:rPr>
        <w:t>Томское</w:t>
      </w:r>
      <w:proofErr w:type="gramEnd"/>
      <w:r w:rsidRPr="00456A83">
        <w:rPr>
          <w:rFonts w:ascii="Times New Roman" w:hAnsi="Times New Roman" w:cs="Times New Roman"/>
          <w:sz w:val="28"/>
          <w:szCs w:val="28"/>
        </w:rPr>
        <w:t xml:space="preserve"> УФАС России рассмотрело </w:t>
      </w:r>
      <w:r w:rsidRPr="004F5675">
        <w:rPr>
          <w:rFonts w:ascii="Times New Roman" w:hAnsi="Times New Roman" w:cs="Times New Roman"/>
          <w:sz w:val="28"/>
          <w:szCs w:val="28"/>
        </w:rPr>
        <w:t>30</w:t>
      </w:r>
      <w:r w:rsidRPr="00456A83">
        <w:rPr>
          <w:rFonts w:ascii="Times New Roman" w:hAnsi="Times New Roman" w:cs="Times New Roman"/>
          <w:sz w:val="28"/>
          <w:szCs w:val="28"/>
        </w:rPr>
        <w:t xml:space="preserve"> заявлений о нарушении законодательства о рекламе. За </w:t>
      </w:r>
      <w:r w:rsidRPr="00456A8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56A83">
        <w:rPr>
          <w:rFonts w:ascii="Times New Roman" w:hAnsi="Times New Roman" w:cs="Times New Roman"/>
          <w:sz w:val="28"/>
          <w:szCs w:val="28"/>
        </w:rPr>
        <w:t xml:space="preserve"> квартал 2018 года Управлением было рассмотрено </w:t>
      </w:r>
      <w:r w:rsidR="004F5675">
        <w:rPr>
          <w:rFonts w:ascii="Times New Roman" w:hAnsi="Times New Roman" w:cs="Times New Roman"/>
          <w:sz w:val="28"/>
          <w:szCs w:val="28"/>
        </w:rPr>
        <w:t xml:space="preserve">такое же количество </w:t>
      </w:r>
      <w:r w:rsidRPr="00456A83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F5675">
        <w:rPr>
          <w:rFonts w:ascii="Times New Roman" w:hAnsi="Times New Roman" w:cs="Times New Roman"/>
          <w:sz w:val="28"/>
          <w:szCs w:val="28"/>
        </w:rPr>
        <w:t xml:space="preserve"> </w:t>
      </w:r>
      <w:r w:rsidR="004F5675" w:rsidRPr="00456A83">
        <w:rPr>
          <w:rFonts w:ascii="Times New Roman" w:hAnsi="Times New Roman" w:cs="Times New Roman"/>
          <w:sz w:val="28"/>
          <w:szCs w:val="28"/>
        </w:rPr>
        <w:t>30</w:t>
      </w:r>
      <w:r w:rsidRPr="00456A83">
        <w:rPr>
          <w:rFonts w:ascii="Times New Roman" w:hAnsi="Times New Roman" w:cs="Times New Roman"/>
          <w:sz w:val="28"/>
          <w:szCs w:val="28"/>
        </w:rPr>
        <w:t xml:space="preserve">.  </w:t>
      </w:r>
      <w:r w:rsidR="00730024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поступивших заявлений </w:t>
      </w:r>
      <w:r w:rsidR="00E2379C">
        <w:rPr>
          <w:rFonts w:ascii="Times New Roman" w:hAnsi="Times New Roman" w:cs="Times New Roman"/>
          <w:sz w:val="28"/>
          <w:szCs w:val="28"/>
        </w:rPr>
        <w:t>за 8 месяцев 2017-2018 гг. представлена ниже в таблице.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19"/>
        <w:gridCol w:w="3601"/>
        <w:gridCol w:w="3601"/>
      </w:tblGrid>
      <w:tr w:rsidR="004F5675" w:rsidTr="004F5675">
        <w:tc>
          <w:tcPr>
            <w:tcW w:w="3219" w:type="dxa"/>
          </w:tcPr>
          <w:p w:rsidR="004F5675" w:rsidRDefault="004F5675" w:rsidP="004F567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4F5675" w:rsidRDefault="004F5675" w:rsidP="004F567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 2017 года</w:t>
            </w:r>
          </w:p>
        </w:tc>
        <w:tc>
          <w:tcPr>
            <w:tcW w:w="3601" w:type="dxa"/>
          </w:tcPr>
          <w:p w:rsidR="004F5675" w:rsidRDefault="004F5675" w:rsidP="004F5675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месяцев 2018 года</w:t>
            </w:r>
          </w:p>
        </w:tc>
      </w:tr>
      <w:tr w:rsidR="004F5675" w:rsidTr="00C01637">
        <w:tc>
          <w:tcPr>
            <w:tcW w:w="3219" w:type="dxa"/>
          </w:tcPr>
          <w:p w:rsidR="004F5675" w:rsidRDefault="004F5675" w:rsidP="00A2076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поступивших  заявлений</w:t>
            </w:r>
          </w:p>
        </w:tc>
        <w:tc>
          <w:tcPr>
            <w:tcW w:w="3601" w:type="dxa"/>
            <w:vAlign w:val="center"/>
          </w:tcPr>
          <w:p w:rsidR="004F5675" w:rsidRDefault="00C124E3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01" w:type="dxa"/>
            <w:vAlign w:val="center"/>
          </w:tcPr>
          <w:p w:rsidR="004F5675" w:rsidRDefault="004F5675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01637" w:rsidTr="00C01637">
        <w:tc>
          <w:tcPr>
            <w:tcW w:w="3219" w:type="dxa"/>
          </w:tcPr>
          <w:p w:rsidR="00C01637" w:rsidRDefault="00C01637" w:rsidP="00A2076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заявлений на стадии рассмотрения</w:t>
            </w:r>
          </w:p>
        </w:tc>
        <w:tc>
          <w:tcPr>
            <w:tcW w:w="3601" w:type="dxa"/>
            <w:vAlign w:val="center"/>
          </w:tcPr>
          <w:p w:rsidR="00C01637" w:rsidRDefault="00C01637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1" w:type="dxa"/>
            <w:vAlign w:val="center"/>
          </w:tcPr>
          <w:p w:rsidR="00C01637" w:rsidRDefault="00C01637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5675" w:rsidTr="00C01637">
        <w:tc>
          <w:tcPr>
            <w:tcW w:w="3219" w:type="dxa"/>
          </w:tcPr>
          <w:p w:rsidR="004F5675" w:rsidRDefault="004F5675" w:rsidP="00A2076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отказов о возбуждении дел</w:t>
            </w:r>
          </w:p>
        </w:tc>
        <w:tc>
          <w:tcPr>
            <w:tcW w:w="3601" w:type="dxa"/>
            <w:vAlign w:val="center"/>
          </w:tcPr>
          <w:p w:rsidR="004F5675" w:rsidRDefault="00686365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1" w:type="dxa"/>
            <w:vAlign w:val="center"/>
          </w:tcPr>
          <w:p w:rsidR="004F5675" w:rsidRDefault="00056BF1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F5675" w:rsidTr="00C01637">
        <w:tc>
          <w:tcPr>
            <w:tcW w:w="3219" w:type="dxa"/>
          </w:tcPr>
          <w:p w:rsidR="004F5675" w:rsidRDefault="004F5675" w:rsidP="00A2076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возбужденных дел по заявлениям</w:t>
            </w:r>
          </w:p>
        </w:tc>
        <w:tc>
          <w:tcPr>
            <w:tcW w:w="3601" w:type="dxa"/>
            <w:vAlign w:val="center"/>
          </w:tcPr>
          <w:p w:rsidR="004F5675" w:rsidRDefault="00686365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01" w:type="dxa"/>
            <w:vAlign w:val="center"/>
          </w:tcPr>
          <w:p w:rsidR="004F5675" w:rsidRDefault="00C01637" w:rsidP="00C124E3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24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5675" w:rsidTr="00C01637">
        <w:tc>
          <w:tcPr>
            <w:tcW w:w="3219" w:type="dxa"/>
          </w:tcPr>
          <w:p w:rsidR="004F5675" w:rsidRDefault="004F5675" w:rsidP="00A2076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Кол-во дел, возбужденных по инициативе УФАС</w:t>
            </w:r>
          </w:p>
        </w:tc>
        <w:tc>
          <w:tcPr>
            <w:tcW w:w="3601" w:type="dxa"/>
            <w:vAlign w:val="center"/>
          </w:tcPr>
          <w:p w:rsidR="004F5675" w:rsidRDefault="00686365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1" w:type="dxa"/>
            <w:vAlign w:val="center"/>
          </w:tcPr>
          <w:p w:rsidR="004F5675" w:rsidRDefault="00C124E3" w:rsidP="00C01637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</w:tbl>
    <w:p w:rsidR="004F5675" w:rsidRDefault="004F5675" w:rsidP="00A2076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5555" w:rsidRPr="00927622" w:rsidRDefault="002E5555" w:rsidP="00A20760">
      <w:pPr>
        <w:pStyle w:val="msobodytextbullet2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27622">
        <w:rPr>
          <w:sz w:val="28"/>
          <w:szCs w:val="28"/>
        </w:rPr>
        <w:t>В</w:t>
      </w:r>
      <w:r w:rsidR="00A403E4" w:rsidRPr="00927622">
        <w:rPr>
          <w:sz w:val="28"/>
          <w:szCs w:val="28"/>
        </w:rPr>
        <w:t xml:space="preserve"> </w:t>
      </w:r>
      <w:r w:rsidR="00A403E4" w:rsidRPr="00927622">
        <w:rPr>
          <w:sz w:val="28"/>
          <w:szCs w:val="28"/>
          <w:lang w:val="en-US"/>
        </w:rPr>
        <w:t>III</w:t>
      </w:r>
      <w:r w:rsidR="00A403E4" w:rsidRPr="00927622">
        <w:rPr>
          <w:sz w:val="28"/>
          <w:szCs w:val="28"/>
        </w:rPr>
        <w:t xml:space="preserve"> квартале 2018 года Томским УФАС России возбуждено </w:t>
      </w:r>
      <w:r w:rsidRPr="00927622">
        <w:rPr>
          <w:sz w:val="28"/>
          <w:szCs w:val="28"/>
        </w:rPr>
        <w:t>12</w:t>
      </w:r>
      <w:r w:rsidR="00A403E4" w:rsidRPr="00927622">
        <w:rPr>
          <w:sz w:val="28"/>
          <w:szCs w:val="28"/>
        </w:rPr>
        <w:t xml:space="preserve"> дел </w:t>
      </w:r>
      <w:r w:rsidRPr="00927622">
        <w:rPr>
          <w:sz w:val="28"/>
          <w:szCs w:val="28"/>
        </w:rPr>
        <w:t xml:space="preserve">(по состоянию на 30.08.2018) </w:t>
      </w:r>
      <w:r w:rsidR="00A403E4" w:rsidRPr="00927622">
        <w:rPr>
          <w:sz w:val="28"/>
          <w:szCs w:val="28"/>
        </w:rPr>
        <w:t xml:space="preserve">по признакам нарушения законодательства о рекламе (в </w:t>
      </w:r>
      <w:r w:rsidR="00A403E4" w:rsidRPr="00927622">
        <w:rPr>
          <w:sz w:val="28"/>
          <w:szCs w:val="28"/>
          <w:lang w:val="en-US"/>
        </w:rPr>
        <w:t>II</w:t>
      </w:r>
      <w:r w:rsidRPr="00927622">
        <w:rPr>
          <w:sz w:val="28"/>
          <w:szCs w:val="28"/>
        </w:rPr>
        <w:t xml:space="preserve"> квартале 2018 году</w:t>
      </w:r>
      <w:r w:rsidR="00A403E4" w:rsidRPr="00927622">
        <w:rPr>
          <w:sz w:val="28"/>
          <w:szCs w:val="28"/>
        </w:rPr>
        <w:t xml:space="preserve"> было возбуждено 10 дел). </w:t>
      </w:r>
      <w:proofErr w:type="gramStart"/>
      <w:r w:rsidR="00A403E4" w:rsidRPr="00927622">
        <w:rPr>
          <w:sz w:val="28"/>
          <w:szCs w:val="28"/>
        </w:rPr>
        <w:t xml:space="preserve">Из них </w:t>
      </w:r>
      <w:r w:rsidRPr="00927622">
        <w:rPr>
          <w:sz w:val="28"/>
          <w:szCs w:val="28"/>
        </w:rPr>
        <w:t>2</w:t>
      </w:r>
      <w:r w:rsidR="00A403E4" w:rsidRPr="00927622">
        <w:rPr>
          <w:sz w:val="28"/>
          <w:szCs w:val="28"/>
        </w:rPr>
        <w:t xml:space="preserve"> дела по фактам </w:t>
      </w:r>
      <w:r w:rsidRPr="00927622">
        <w:rPr>
          <w:sz w:val="28"/>
          <w:szCs w:val="28"/>
        </w:rPr>
        <w:t xml:space="preserve">распространения ненадлежащей рекламы финансовых услуг, 1 дело по факту размещения рекламы основанных на риске игр, пари, 1 дела – по факту распространения рекламы алкогольных услуг, 1 – по факту размещения рекламы медицинских услуг, </w:t>
      </w:r>
      <w:r w:rsidR="00927622" w:rsidRPr="00927622">
        <w:rPr>
          <w:sz w:val="28"/>
          <w:szCs w:val="28"/>
        </w:rPr>
        <w:t>2</w:t>
      </w:r>
      <w:r w:rsidRPr="00927622">
        <w:rPr>
          <w:sz w:val="28"/>
          <w:szCs w:val="28"/>
        </w:rPr>
        <w:t xml:space="preserve"> – по материалам Управления Роскомнадзора по Томской области о превышении объема рекламы </w:t>
      </w:r>
      <w:r w:rsidR="00927622" w:rsidRPr="00927622">
        <w:rPr>
          <w:sz w:val="28"/>
          <w:szCs w:val="28"/>
        </w:rPr>
        <w:t>в эфире радиопрограммы, 1 – о нарушении порядка рекламирования товаров при дистанционном</w:t>
      </w:r>
      <w:proofErr w:type="gramEnd"/>
      <w:r w:rsidR="00927622" w:rsidRPr="00927622">
        <w:rPr>
          <w:sz w:val="28"/>
          <w:szCs w:val="28"/>
        </w:rPr>
        <w:t xml:space="preserve"> </w:t>
      </w:r>
      <w:proofErr w:type="gramStart"/>
      <w:r w:rsidR="00927622" w:rsidRPr="00927622">
        <w:rPr>
          <w:sz w:val="28"/>
          <w:szCs w:val="28"/>
        </w:rPr>
        <w:t>способе</w:t>
      </w:r>
      <w:proofErr w:type="gramEnd"/>
      <w:r w:rsidR="00927622" w:rsidRPr="00927622">
        <w:rPr>
          <w:sz w:val="28"/>
          <w:szCs w:val="28"/>
        </w:rPr>
        <w:t xml:space="preserve"> их продажи, 4 – по факту нарушения общих требований к рекламе (ст. 5 Закона о рекламе).</w:t>
      </w:r>
    </w:p>
    <w:p w:rsidR="00904652" w:rsidRPr="00904652" w:rsidRDefault="00456A83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04652">
        <w:rPr>
          <w:rFonts w:ascii="Times New Roman" w:hAnsi="Times New Roman" w:cs="Times New Roman"/>
          <w:sz w:val="28"/>
          <w:szCs w:val="28"/>
        </w:rPr>
        <w:t xml:space="preserve">Анализ фактов, относительно которых поступают заявления, показывает, что наиболее частым поводом для обращения в Томское УФАС России по-прежнему остается нарушение хозяйствующими субъектами, физическими лицами ст. 18 Закона о рекламе при распространении рекламы по сетям электросвязи. </w:t>
      </w:r>
      <w:r w:rsidR="00904652" w:rsidRPr="00904652">
        <w:rPr>
          <w:rFonts w:ascii="Times New Roman" w:hAnsi="Times New Roman" w:cs="Times New Roman"/>
          <w:sz w:val="28"/>
          <w:szCs w:val="28"/>
        </w:rPr>
        <w:t xml:space="preserve">За </w:t>
      </w:r>
      <w:r w:rsidR="00904652" w:rsidRPr="009046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4652" w:rsidRPr="00904652">
        <w:rPr>
          <w:rFonts w:ascii="Times New Roman" w:hAnsi="Times New Roman" w:cs="Times New Roman"/>
          <w:sz w:val="28"/>
          <w:szCs w:val="28"/>
        </w:rPr>
        <w:t xml:space="preserve"> квартал в </w:t>
      </w:r>
      <w:proofErr w:type="gramStart"/>
      <w:r w:rsidR="00904652" w:rsidRPr="00904652">
        <w:rPr>
          <w:rFonts w:ascii="Times New Roman" w:hAnsi="Times New Roman" w:cs="Times New Roman"/>
          <w:sz w:val="28"/>
          <w:szCs w:val="28"/>
        </w:rPr>
        <w:t>Томское</w:t>
      </w:r>
      <w:proofErr w:type="gramEnd"/>
      <w:r w:rsidR="00904652" w:rsidRPr="00904652">
        <w:rPr>
          <w:rFonts w:ascii="Times New Roman" w:hAnsi="Times New Roman" w:cs="Times New Roman"/>
          <w:sz w:val="28"/>
          <w:szCs w:val="28"/>
        </w:rPr>
        <w:t xml:space="preserve"> УФАС России поступило </w:t>
      </w:r>
      <w:r w:rsidR="00056BF1">
        <w:rPr>
          <w:rFonts w:ascii="Times New Roman" w:hAnsi="Times New Roman" w:cs="Times New Roman"/>
          <w:sz w:val="28"/>
          <w:szCs w:val="28"/>
        </w:rPr>
        <w:t xml:space="preserve">14 </w:t>
      </w:r>
      <w:r w:rsidR="00904652" w:rsidRPr="00904652">
        <w:rPr>
          <w:rFonts w:ascii="Times New Roman" w:hAnsi="Times New Roman" w:cs="Times New Roman"/>
          <w:sz w:val="28"/>
          <w:szCs w:val="28"/>
        </w:rPr>
        <w:t xml:space="preserve">заявлений по признакам нарушения ч. 1 ст. 18 Закона о рекламе. За период 2018 года по данному признаку нарушения возбуждено </w:t>
      </w:r>
      <w:r w:rsidR="00056BF1">
        <w:rPr>
          <w:rFonts w:ascii="Times New Roman" w:hAnsi="Times New Roman" w:cs="Times New Roman"/>
          <w:sz w:val="28"/>
          <w:szCs w:val="28"/>
        </w:rPr>
        <w:t xml:space="preserve">7 </w:t>
      </w:r>
      <w:r w:rsidR="00904652" w:rsidRPr="00904652">
        <w:rPr>
          <w:rFonts w:ascii="Times New Roman" w:hAnsi="Times New Roman" w:cs="Times New Roman"/>
          <w:sz w:val="28"/>
          <w:szCs w:val="28"/>
        </w:rPr>
        <w:t>дел</w:t>
      </w:r>
      <w:r w:rsidR="00056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652" w:rsidRPr="00036E5C" w:rsidRDefault="00904652" w:rsidP="00A20760">
      <w:pPr>
        <w:pStyle w:val="ConsPlusNormal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части 1 статьи 18 Федерального закона «О рекламе» распространение рекламы по сетям электросвязи, в том числе посредством использования телефонной, факсимильной, подвижной радиотелефонной связи, допускается только при условии предварительного согласия абонента или адресата на получение рекламы. Рекламораспространитель обязан немедленно прекратить распространение рекламы в адрес лица, обратившегося к нему с таким требованием.</w:t>
      </w:r>
    </w:p>
    <w:p w:rsidR="00456A83" w:rsidRDefault="00456A83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6E5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36E5C">
        <w:rPr>
          <w:rFonts w:ascii="Times New Roman" w:hAnsi="Times New Roman" w:cs="Times New Roman"/>
          <w:sz w:val="28"/>
          <w:szCs w:val="28"/>
        </w:rPr>
        <w:t>большинстве</w:t>
      </w:r>
      <w:proofErr w:type="gramEnd"/>
      <w:r w:rsidRPr="00036E5C">
        <w:rPr>
          <w:rFonts w:ascii="Times New Roman" w:hAnsi="Times New Roman" w:cs="Times New Roman"/>
          <w:sz w:val="28"/>
          <w:szCs w:val="28"/>
        </w:rPr>
        <w:t xml:space="preserve"> случаев по результатам рассмотрения заявлений принимается решение об отказе в возбуждении дела о нарушении законодательства о рекламе ввиду наличия согласия абонента на получение рекламы по сетям электросвязи. </w:t>
      </w:r>
      <w:r w:rsidR="00FC598B" w:rsidRPr="00036E5C">
        <w:rPr>
          <w:rFonts w:ascii="Times New Roman" w:hAnsi="Times New Roman" w:cs="Times New Roman"/>
          <w:sz w:val="28"/>
          <w:szCs w:val="28"/>
        </w:rPr>
        <w:t xml:space="preserve">Как </w:t>
      </w:r>
      <w:r w:rsidR="00FC598B" w:rsidRPr="00036E5C">
        <w:rPr>
          <w:rFonts w:ascii="Times New Roman" w:hAnsi="Times New Roman" w:cs="Times New Roman"/>
          <w:sz w:val="28"/>
          <w:szCs w:val="28"/>
        </w:rPr>
        <w:lastRenderedPageBreak/>
        <w:t>правило, абоненты при заключении договора об оказании услуг связи просто не ставят отметки об отказе от получения рекламной информации. Кроме того, в рамках рассмотрения заявлений по данным признакам нарушений очень часто выясняется, что в договорах об оказании услуг связи помимо согласия на получение рекламы операторы связи включают условие о сог</w:t>
      </w:r>
      <w:r w:rsidR="00FC598B">
        <w:rPr>
          <w:rFonts w:ascii="Times New Roman" w:hAnsi="Times New Roman" w:cs="Times New Roman"/>
          <w:sz w:val="28"/>
          <w:szCs w:val="28"/>
        </w:rPr>
        <w:t xml:space="preserve">ласии </w:t>
      </w:r>
      <w:r w:rsidR="00FC598B" w:rsidRPr="00FC598B">
        <w:rPr>
          <w:rFonts w:ascii="Times New Roman" w:hAnsi="Times New Roman" w:cs="Times New Roman"/>
          <w:sz w:val="28"/>
          <w:szCs w:val="28"/>
        </w:rPr>
        <w:t>на передачу сведений о нем в целях исполнения догов</w:t>
      </w:r>
      <w:r w:rsidR="00FC598B">
        <w:rPr>
          <w:rFonts w:ascii="Times New Roman" w:hAnsi="Times New Roman" w:cs="Times New Roman"/>
          <w:sz w:val="28"/>
          <w:szCs w:val="28"/>
        </w:rPr>
        <w:t xml:space="preserve">ора третьим лицам. Таким образом, лица, </w:t>
      </w:r>
      <w:r w:rsidR="00124C71">
        <w:rPr>
          <w:rFonts w:ascii="Times New Roman" w:hAnsi="Times New Roman" w:cs="Times New Roman"/>
          <w:sz w:val="28"/>
          <w:szCs w:val="28"/>
        </w:rPr>
        <w:t xml:space="preserve">давшие согласие на получение рекламы при заключении договора, получают рекламную </w:t>
      </w:r>
      <w:proofErr w:type="gramStart"/>
      <w:r w:rsidR="00124C71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124C71">
        <w:rPr>
          <w:rFonts w:ascii="Times New Roman" w:hAnsi="Times New Roman" w:cs="Times New Roman"/>
          <w:sz w:val="28"/>
          <w:szCs w:val="28"/>
        </w:rPr>
        <w:t xml:space="preserve"> как от оператора связи, так и от третьих лиц. Вместе с тем, исходя из судебной практики, </w:t>
      </w:r>
      <w:r w:rsidR="00124C71" w:rsidRPr="00124C71">
        <w:rPr>
          <w:rFonts w:ascii="Times New Roman" w:hAnsi="Times New Roman" w:cs="Times New Roman"/>
          <w:sz w:val="28"/>
          <w:szCs w:val="28"/>
        </w:rPr>
        <w:t>каждый оператор связи устанавливает свои правила оказания услуг связи, являющиеся неотъемлемой частью договора. Заключая договор, абонент принимает условия,</w:t>
      </w:r>
      <w:r w:rsidR="00124C71">
        <w:rPr>
          <w:rFonts w:ascii="Times New Roman" w:hAnsi="Times New Roman" w:cs="Times New Roman"/>
          <w:sz w:val="28"/>
          <w:szCs w:val="28"/>
        </w:rPr>
        <w:t xml:space="preserve"> установленные этими правилами. При этом </w:t>
      </w:r>
      <w:r w:rsidR="00124C71" w:rsidRPr="00124C71">
        <w:rPr>
          <w:rFonts w:ascii="Times New Roman" w:hAnsi="Times New Roman" w:cs="Times New Roman"/>
          <w:sz w:val="28"/>
          <w:szCs w:val="28"/>
        </w:rPr>
        <w:t xml:space="preserve">согласие абонента может быть выражено в любой форме, достаточной для его идентификации и подтверждения волеизъявления на получение рекламы </w:t>
      </w:r>
      <w:proofErr w:type="gramStart"/>
      <w:r w:rsidR="00124C71" w:rsidRPr="00124C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24C71" w:rsidRPr="00124C71">
        <w:rPr>
          <w:rFonts w:ascii="Times New Roman" w:hAnsi="Times New Roman" w:cs="Times New Roman"/>
          <w:sz w:val="28"/>
          <w:szCs w:val="28"/>
        </w:rPr>
        <w:t xml:space="preserve"> конкр</w:t>
      </w:r>
      <w:r w:rsidR="00904652">
        <w:rPr>
          <w:rFonts w:ascii="Times New Roman" w:hAnsi="Times New Roman" w:cs="Times New Roman"/>
          <w:sz w:val="28"/>
          <w:szCs w:val="28"/>
        </w:rPr>
        <w:t>етного рекламораспространителя. Следовательно</w:t>
      </w:r>
      <w:r w:rsidR="00124C71" w:rsidRPr="00124C71">
        <w:rPr>
          <w:rFonts w:ascii="Times New Roman" w:hAnsi="Times New Roman" w:cs="Times New Roman"/>
          <w:sz w:val="28"/>
          <w:szCs w:val="28"/>
        </w:rPr>
        <w:t xml:space="preserve">, согласие дается </w:t>
      </w:r>
      <w:proofErr w:type="gramStart"/>
      <w:r w:rsidR="00124C71" w:rsidRPr="00124C71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="00124C71" w:rsidRPr="00124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C71" w:rsidRPr="00124C71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124C71" w:rsidRPr="00124C71">
        <w:rPr>
          <w:rFonts w:ascii="Times New Roman" w:hAnsi="Times New Roman" w:cs="Times New Roman"/>
          <w:sz w:val="28"/>
          <w:szCs w:val="28"/>
        </w:rPr>
        <w:t>, независимо от того, рекламу каких именно рекламодателей он будет доставлять.</w:t>
      </w:r>
    </w:p>
    <w:p w:rsidR="00036E5C" w:rsidRPr="00904652" w:rsidRDefault="00036E5C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заявителям следует быть более осмотрительными еще на этапе заключения договора об оказании услуг связи и внимательно знакомиться с его содержанием, требуя от представителей оператора связи информации о порядке и возможности отказа от получения информации рекламного характера по сетям электросвязи. </w:t>
      </w:r>
    </w:p>
    <w:p w:rsidR="00456A83" w:rsidRDefault="00036E5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B08">
        <w:rPr>
          <w:rFonts w:ascii="Times New Roman" w:hAnsi="Times New Roman" w:cs="Times New Roman"/>
          <w:sz w:val="28"/>
          <w:szCs w:val="28"/>
        </w:rPr>
        <w:t xml:space="preserve">При этом в практике Томского УФАС России имеются случаи </w:t>
      </w:r>
      <w:r w:rsidR="00900B08" w:rsidRPr="00900B08">
        <w:rPr>
          <w:rFonts w:ascii="Times New Roman" w:hAnsi="Times New Roman" w:cs="Times New Roman"/>
          <w:sz w:val="28"/>
          <w:szCs w:val="28"/>
        </w:rPr>
        <w:t xml:space="preserve">подтверждения доводов заявителя о нарушении требований ч. 1 ст. 18 Закона о рекламе. </w:t>
      </w:r>
      <w:r w:rsidR="00900B08">
        <w:rPr>
          <w:rFonts w:ascii="Times New Roman" w:hAnsi="Times New Roman" w:cs="Times New Roman"/>
          <w:sz w:val="28"/>
          <w:szCs w:val="28"/>
        </w:rPr>
        <w:t xml:space="preserve">Так антимонопольным управлением вынесено решение о признании ненадлежащей рекламы оператора сотовой связи ПАО «Мегафон». Из заявления гражданина следовало, что </w:t>
      </w:r>
      <w:r w:rsidR="00900B08" w:rsidRPr="00900B08">
        <w:rPr>
          <w:rFonts w:ascii="Times New Roman" w:hAnsi="Times New Roman" w:cs="Times New Roman"/>
          <w:sz w:val="28"/>
          <w:szCs w:val="28"/>
        </w:rPr>
        <w:t xml:space="preserve">с номера 2017 на телефонный номер </w:t>
      </w:r>
      <w:r w:rsidR="00745B80">
        <w:rPr>
          <w:rFonts w:ascii="Times New Roman" w:hAnsi="Times New Roman" w:cs="Times New Roman"/>
          <w:sz w:val="28"/>
          <w:szCs w:val="28"/>
        </w:rPr>
        <w:t>заявителя</w:t>
      </w:r>
      <w:r w:rsidR="00745B80" w:rsidRPr="00900B08">
        <w:rPr>
          <w:rFonts w:ascii="Times New Roman" w:hAnsi="Times New Roman" w:cs="Times New Roman"/>
          <w:sz w:val="28"/>
          <w:szCs w:val="28"/>
        </w:rPr>
        <w:t xml:space="preserve"> </w:t>
      </w:r>
      <w:r w:rsidR="00745B80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00B08" w:rsidRPr="00900B08">
        <w:rPr>
          <w:rFonts w:ascii="Times New Roman" w:hAnsi="Times New Roman" w:cs="Times New Roman"/>
          <w:sz w:val="28"/>
          <w:szCs w:val="28"/>
        </w:rPr>
        <w:t>сообщени</w:t>
      </w:r>
      <w:r w:rsidR="00745B80">
        <w:rPr>
          <w:rFonts w:ascii="Times New Roman" w:hAnsi="Times New Roman" w:cs="Times New Roman"/>
          <w:sz w:val="28"/>
          <w:szCs w:val="28"/>
        </w:rPr>
        <w:t>е</w:t>
      </w:r>
      <w:r w:rsidR="00900B08" w:rsidRPr="00900B08">
        <w:rPr>
          <w:rFonts w:ascii="Times New Roman" w:hAnsi="Times New Roman" w:cs="Times New Roman"/>
          <w:sz w:val="28"/>
          <w:szCs w:val="28"/>
        </w:rPr>
        <w:t xml:space="preserve"> следующего содержания: «Ваш бонус в январе! Сегодня, 25.01.2018, номер 79265958123 может выиграть 15 000 руб. А в финале разыграем 5 МЛН. Отправьте ДА или любое SMS на 2017 (до 31.10.18) 12 руб./д. Подробности: </w:t>
      </w:r>
      <w:proofErr w:type="spellStart"/>
      <w:r w:rsidR="00900B08" w:rsidRPr="00900B0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="00900B08" w:rsidRPr="00900B08">
        <w:rPr>
          <w:rFonts w:ascii="Times New Roman" w:hAnsi="Times New Roman" w:cs="Times New Roman"/>
          <w:sz w:val="28"/>
          <w:szCs w:val="28"/>
        </w:rPr>
        <w:t>. Megafon.ru или 0100 (</w:t>
      </w:r>
      <w:proofErr w:type="spellStart"/>
      <w:r w:rsidR="00900B08" w:rsidRPr="00900B08">
        <w:rPr>
          <w:rFonts w:ascii="Times New Roman" w:hAnsi="Times New Roman" w:cs="Times New Roman"/>
          <w:sz w:val="28"/>
          <w:szCs w:val="28"/>
        </w:rPr>
        <w:t>беспл</w:t>
      </w:r>
      <w:proofErr w:type="spellEnd"/>
      <w:r w:rsidR="00900B08" w:rsidRPr="00900B08">
        <w:rPr>
          <w:rFonts w:ascii="Times New Roman" w:hAnsi="Times New Roman" w:cs="Times New Roman"/>
          <w:sz w:val="28"/>
          <w:szCs w:val="28"/>
        </w:rPr>
        <w:t>.) Ваш Мегафон»</w:t>
      </w:r>
      <w:r w:rsidR="00745B80">
        <w:rPr>
          <w:rFonts w:ascii="Times New Roman" w:hAnsi="Times New Roman" w:cs="Times New Roman"/>
          <w:sz w:val="28"/>
          <w:szCs w:val="28"/>
        </w:rPr>
        <w:t xml:space="preserve">. В ходе рассмотрения заявления выяснилось, что </w:t>
      </w:r>
      <w:r w:rsidR="00745B80">
        <w:rPr>
          <w:rFonts w:ascii="Times New Roman" w:hAnsi="Times New Roman" w:cs="Times New Roman"/>
          <w:sz w:val="28"/>
          <w:szCs w:val="28"/>
        </w:rPr>
        <w:lastRenderedPageBreak/>
        <w:t>заявителем согласия на получение рекламы дано не</w:t>
      </w:r>
      <w:r w:rsidR="00745B80" w:rsidRPr="00745B80">
        <w:t xml:space="preserve"> </w:t>
      </w:r>
      <w:r w:rsidR="00745B80">
        <w:rPr>
          <w:rFonts w:ascii="Times New Roman" w:hAnsi="Times New Roman" w:cs="Times New Roman"/>
          <w:sz w:val="28"/>
          <w:szCs w:val="28"/>
        </w:rPr>
        <w:t xml:space="preserve">было, </w:t>
      </w:r>
      <w:r w:rsidR="00745B80" w:rsidRPr="00745B80">
        <w:rPr>
          <w:rFonts w:ascii="Times New Roman" w:hAnsi="Times New Roman" w:cs="Times New Roman"/>
          <w:sz w:val="28"/>
          <w:szCs w:val="28"/>
        </w:rPr>
        <w:t>однако в информационно-</w:t>
      </w:r>
      <w:proofErr w:type="spellStart"/>
      <w:r w:rsidR="00745B80" w:rsidRPr="00745B80">
        <w:rPr>
          <w:rFonts w:ascii="Times New Roman" w:hAnsi="Times New Roman" w:cs="Times New Roman"/>
          <w:sz w:val="28"/>
          <w:szCs w:val="28"/>
        </w:rPr>
        <w:t>биллинговой</w:t>
      </w:r>
      <w:proofErr w:type="spellEnd"/>
      <w:r w:rsidR="00745B80" w:rsidRPr="00745B80">
        <w:rPr>
          <w:rFonts w:ascii="Times New Roman" w:hAnsi="Times New Roman" w:cs="Times New Roman"/>
          <w:sz w:val="28"/>
          <w:szCs w:val="28"/>
        </w:rPr>
        <w:t xml:space="preserve"> системе оператора данная информация не отобразилась</w:t>
      </w:r>
      <w:r w:rsidR="00745B8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745B8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45B80">
        <w:rPr>
          <w:rFonts w:ascii="Times New Roman" w:hAnsi="Times New Roman" w:cs="Times New Roman"/>
          <w:sz w:val="28"/>
          <w:szCs w:val="28"/>
        </w:rPr>
        <w:t xml:space="preserve"> и послужило поводом для направления нежелательной рекламы. В. Настоящий момент материалы дела переданы должностному лицу Томского УФАС России для возбуждения дела о нарушении ч. 1 ст. 14.3 КоАП РФ.</w:t>
      </w:r>
    </w:p>
    <w:p w:rsidR="00A079EB" w:rsidRDefault="00172F1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отметить и тенденцию к увеличению количества нарушений при размещении рекламы в сети «Интернет», а именно участились случаи обращения граждан с заявлениями о нарушении законодательства о рекламе при ее </w:t>
      </w:r>
      <w:r w:rsidR="001F111D">
        <w:rPr>
          <w:rFonts w:ascii="Times New Roman" w:hAnsi="Times New Roman" w:cs="Times New Roman"/>
          <w:sz w:val="28"/>
          <w:szCs w:val="28"/>
        </w:rPr>
        <w:t>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в социальных сетях. Таким образом, </w:t>
      </w:r>
      <w:r w:rsidR="00A079EB">
        <w:rPr>
          <w:rFonts w:ascii="Times New Roman" w:hAnsi="Times New Roman" w:cs="Times New Roman"/>
          <w:sz w:val="28"/>
          <w:szCs w:val="28"/>
        </w:rPr>
        <w:t xml:space="preserve">с расширением рекламных пространств </w:t>
      </w:r>
      <w:r w:rsidR="001F111D">
        <w:rPr>
          <w:rFonts w:ascii="Times New Roman" w:hAnsi="Times New Roman" w:cs="Times New Roman"/>
          <w:sz w:val="28"/>
          <w:szCs w:val="28"/>
        </w:rPr>
        <w:t>повышается</w:t>
      </w:r>
      <w:r w:rsidR="00A079EB">
        <w:rPr>
          <w:rFonts w:ascii="Times New Roman" w:hAnsi="Times New Roman" w:cs="Times New Roman"/>
          <w:sz w:val="28"/>
          <w:szCs w:val="28"/>
        </w:rPr>
        <w:t xml:space="preserve"> и ответственность рекламодателей и </w:t>
      </w:r>
      <w:proofErr w:type="spellStart"/>
      <w:r w:rsidR="00A079EB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="00A079EB">
        <w:rPr>
          <w:rFonts w:ascii="Times New Roman" w:hAnsi="Times New Roman" w:cs="Times New Roman"/>
          <w:sz w:val="28"/>
          <w:szCs w:val="28"/>
        </w:rPr>
        <w:t>, поскольку реклама, размещаемая в сети Интернет, доступна все большему количеству потребителей. Наиболее популярным медиа пространством для размещения рекламы на российском рынке является социальная сеть «</w:t>
      </w:r>
      <w:proofErr w:type="spellStart"/>
      <w:r w:rsidR="00A079E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079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C3AD4" w:rsidRDefault="006846A3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при рассмотрении вопроса о</w:t>
      </w:r>
      <w:r w:rsidR="00AC3A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D4">
        <w:rPr>
          <w:rFonts w:ascii="Times New Roman" w:hAnsi="Times New Roman" w:cs="Times New Roman"/>
          <w:sz w:val="28"/>
          <w:szCs w:val="28"/>
        </w:rPr>
        <w:t>отнесении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сведений, размещенных в сети Интернет</w:t>
      </w:r>
      <w:r w:rsidR="00AC3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AD4">
        <w:rPr>
          <w:rFonts w:ascii="Times New Roman" w:hAnsi="Times New Roman" w:cs="Times New Roman"/>
          <w:sz w:val="28"/>
          <w:szCs w:val="28"/>
        </w:rPr>
        <w:t>к рекламе следует учитывать позицию ФАС России (Письмо</w:t>
      </w:r>
      <w:r w:rsidR="00AC3AD4" w:rsidRPr="00AC3AD4">
        <w:rPr>
          <w:rFonts w:ascii="Times New Roman" w:hAnsi="Times New Roman" w:cs="Times New Roman"/>
          <w:sz w:val="28"/>
          <w:szCs w:val="28"/>
        </w:rPr>
        <w:t xml:space="preserve"> ФАС России от 28.08.2015 </w:t>
      </w:r>
      <w:r w:rsidR="00AC3AD4">
        <w:rPr>
          <w:rFonts w:ascii="Times New Roman" w:hAnsi="Times New Roman" w:cs="Times New Roman"/>
          <w:sz w:val="28"/>
          <w:szCs w:val="28"/>
        </w:rPr>
        <w:t xml:space="preserve">№ АК/45828/15 «О рекламе в сети «Интернет»). </w:t>
      </w:r>
    </w:p>
    <w:p w:rsidR="00AC3AD4" w:rsidRPr="00AC3AD4" w:rsidRDefault="00AC3AD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D4">
        <w:rPr>
          <w:rFonts w:ascii="Times New Roman" w:hAnsi="Times New Roman" w:cs="Times New Roman"/>
          <w:sz w:val="28"/>
          <w:szCs w:val="28"/>
        </w:rPr>
        <w:t>По мнению ФАС России, не является рекламой информация о производимых или реализуемых товарах, размещенная на сайте производителя или продавца данных товаров или на страницах в социальных сетях производителя или продавца данных товаров, если указанные сведения предназначены для информирования посетителей сайта или страницы в социальной сети о реализуемых товарах, ассортименте, правилах пользования, также не является рекламой информация о хозяйственной деятельности компании</w:t>
      </w:r>
      <w:proofErr w:type="gramEnd"/>
      <w:r w:rsidRPr="00AC3A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C3AD4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AC3AD4">
        <w:rPr>
          <w:rFonts w:ascii="Times New Roman" w:hAnsi="Times New Roman" w:cs="Times New Roman"/>
          <w:sz w:val="28"/>
          <w:szCs w:val="28"/>
        </w:rPr>
        <w:t xml:space="preserve"> и мероприятиях, проводимых данной компанией и т.п. В том числе не является рекламой информация о скидках или проводимых акциях, размещенная на сайтах, на которых аккумулируются и предлагаются различные купоны или билеты, позволяющие приобрести товар со скидкой. Следовательно, на такую информацию</w:t>
      </w:r>
      <w:r w:rsidR="00E21DCC"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«О рекламе» </w:t>
      </w:r>
      <w:r w:rsidRPr="00AC3AD4">
        <w:rPr>
          <w:rFonts w:ascii="Times New Roman" w:hAnsi="Times New Roman" w:cs="Times New Roman"/>
          <w:sz w:val="28"/>
          <w:szCs w:val="28"/>
        </w:rPr>
        <w:t>не распространяются.</w:t>
      </w:r>
    </w:p>
    <w:p w:rsidR="00AC3AD4" w:rsidRPr="00AC3AD4" w:rsidRDefault="00AC3AD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D4">
        <w:rPr>
          <w:rFonts w:ascii="Times New Roman" w:hAnsi="Times New Roman" w:cs="Times New Roman"/>
          <w:sz w:val="28"/>
          <w:szCs w:val="28"/>
        </w:rPr>
        <w:lastRenderedPageBreak/>
        <w:t>Однако в отдельных случаях, когда размещаемая на сайте информация направлена не столько на информирование потребителя об ассортименте товаров или деятельности компании, сколько на привлечение внимания к конкретному товару и его выделение среди однородных товаров (например, всплывающий баннер), такая информация может быть признана рекламой.</w:t>
      </w:r>
    </w:p>
    <w:p w:rsidR="00AC3AD4" w:rsidRPr="00AC3AD4" w:rsidRDefault="00AC3AD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3AD4">
        <w:rPr>
          <w:rFonts w:ascii="Times New Roman" w:hAnsi="Times New Roman" w:cs="Times New Roman"/>
          <w:sz w:val="28"/>
          <w:szCs w:val="28"/>
        </w:rPr>
        <w:t>Кроме того, выдача поисковой системой перечня гиперссылок на различные источники информации (сайты, форумы и пр.) не является рекламой, поскольку выдача такого перечня является результатом обработки поискового запроса пользователя.</w:t>
      </w:r>
    </w:p>
    <w:p w:rsidR="00AC3AD4" w:rsidRPr="00AC3AD4" w:rsidRDefault="00AC3AD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D4">
        <w:rPr>
          <w:rFonts w:ascii="Times New Roman" w:hAnsi="Times New Roman" w:cs="Times New Roman"/>
          <w:sz w:val="28"/>
          <w:szCs w:val="28"/>
        </w:rPr>
        <w:t>При размещении подобных информационных сведений (результатов поискового запроса) такая задача, стоящая перед рекламой, как формирование и поддержание интереса к конкретному юридическому лицу и его товару, услуге, не выполняется, поскольку однородная информация, размещенная среди таких же, однородных, сведений о различных товарах, не позволяет выделить какой-либо отдельный товар и сформировать к нему интерес.</w:t>
      </w:r>
      <w:proofErr w:type="gramEnd"/>
    </w:p>
    <w:p w:rsidR="006846A3" w:rsidRDefault="00AC3AD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D4">
        <w:rPr>
          <w:rFonts w:ascii="Times New Roman" w:hAnsi="Times New Roman" w:cs="Times New Roman"/>
          <w:sz w:val="28"/>
          <w:szCs w:val="28"/>
        </w:rPr>
        <w:t xml:space="preserve">Следовательно, предоставляемая поисковой системой по запросу пользователя информация (за исключением, информации, размещенной на странице с результатами поиска, посредством использования системы контекстной рекламы) не подпадает под понятие рекламы, так как целью распространения данной информации является непосредственный ответ системы на запрос о ее предоставлении, и на такую информацию не распространяются </w:t>
      </w:r>
      <w:r w:rsidR="00E21DCC">
        <w:rPr>
          <w:rFonts w:ascii="Times New Roman" w:hAnsi="Times New Roman" w:cs="Times New Roman"/>
          <w:sz w:val="28"/>
          <w:szCs w:val="28"/>
        </w:rPr>
        <w:t>требования Федерального закона «О рекламе»</w:t>
      </w:r>
      <w:r w:rsidRPr="00AC3A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9EB" w:rsidRDefault="00A079EB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111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F111D" w:rsidRPr="001F111D">
        <w:rPr>
          <w:rFonts w:ascii="Times New Roman" w:hAnsi="Times New Roman" w:cs="Times New Roman"/>
          <w:sz w:val="28"/>
          <w:szCs w:val="28"/>
        </w:rPr>
        <w:t xml:space="preserve"> </w:t>
      </w:r>
      <w:r w:rsidR="001F111D">
        <w:rPr>
          <w:rFonts w:ascii="Times New Roman" w:hAnsi="Times New Roman" w:cs="Times New Roman"/>
          <w:sz w:val="28"/>
          <w:szCs w:val="28"/>
        </w:rPr>
        <w:t>квартале 2018 года Томским УФАС России рассмотрено 3 заявления по признакам нарушения законодательства о рекламе по факту размещения в социальной сети «</w:t>
      </w:r>
      <w:proofErr w:type="spellStart"/>
      <w:r w:rsidR="001F111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1F111D">
        <w:rPr>
          <w:rFonts w:ascii="Times New Roman" w:hAnsi="Times New Roman" w:cs="Times New Roman"/>
          <w:sz w:val="28"/>
          <w:szCs w:val="28"/>
        </w:rPr>
        <w:t>» рекламы АО «Тинькофф банка», рекламы основанных на риске игр, пари,</w:t>
      </w:r>
      <w:r w:rsidR="006846A3">
        <w:rPr>
          <w:rFonts w:ascii="Times New Roman" w:hAnsi="Times New Roman" w:cs="Times New Roman"/>
          <w:sz w:val="28"/>
          <w:szCs w:val="28"/>
        </w:rPr>
        <w:t xml:space="preserve"> а также рекламы ночного клуба, в результате возбуждено 2 дела по признакам нарушения законодательства о рекламе.</w:t>
      </w:r>
    </w:p>
    <w:p w:rsidR="006846A3" w:rsidRPr="00A20760" w:rsidRDefault="006846A3" w:rsidP="00036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" w:name="OLE_LINK12"/>
      <w:r w:rsidRPr="00A20760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bookmarkEnd w:id="4"/>
    <w:p w:rsidR="006846A3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В Томское УФАС России поступило заявление гражданина, из которого следует, что в социальной сети «</w:t>
      </w:r>
      <w:proofErr w:type="spellStart"/>
      <w:r w:rsidRPr="00E21D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1DCC">
        <w:rPr>
          <w:rFonts w:ascii="Times New Roman" w:hAnsi="Times New Roman" w:cs="Times New Roman"/>
          <w:sz w:val="28"/>
          <w:szCs w:val="28"/>
        </w:rPr>
        <w:t xml:space="preserve">» в сообществе «ЗБС Хоккей» размещена </w:t>
      </w:r>
      <w:r w:rsidRPr="00E21DCC">
        <w:rPr>
          <w:rFonts w:ascii="Times New Roman" w:hAnsi="Times New Roman" w:cs="Times New Roman"/>
          <w:sz w:val="28"/>
          <w:szCs w:val="28"/>
        </w:rPr>
        <w:lastRenderedPageBreak/>
        <w:t>реклама следующего содержания: «Финальные игры дивизионов КХЛ</w:t>
      </w:r>
      <w:proofErr w:type="gramStart"/>
      <w:r w:rsidRPr="00E21DC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21DCC">
        <w:rPr>
          <w:rFonts w:ascii="Times New Roman" w:hAnsi="Times New Roman" w:cs="Times New Roman"/>
          <w:sz w:val="28"/>
          <w:szCs w:val="28"/>
        </w:rPr>
        <w:t xml:space="preserve">е упусти шанс заработать на любимом спорте Сделай ставку и получи БОНУС на депозит до 15 000 рублей Будь в плюсе вместе с </w:t>
      </w:r>
      <w:proofErr w:type="spellStart"/>
      <w:r w:rsidRPr="00E21DCC">
        <w:rPr>
          <w:rFonts w:ascii="Times New Roman" w:hAnsi="Times New Roman" w:cs="Times New Roman"/>
          <w:sz w:val="28"/>
          <w:szCs w:val="28"/>
        </w:rPr>
        <w:t>MostBet</w:t>
      </w:r>
      <w:proofErr w:type="spellEnd"/>
      <w:r w:rsidRPr="00E21DCC">
        <w:rPr>
          <w:rFonts w:ascii="Times New Roman" w:hAnsi="Times New Roman" w:cs="Times New Roman"/>
          <w:sz w:val="28"/>
          <w:szCs w:val="28"/>
        </w:rPr>
        <w:t xml:space="preserve"> – букмекерской компании № 1! Сделай ставку на КХЛ https://vk.cc/7SRrnv MOSTBET самые высокие коэффициенты бонус на депозит до 15 000 руб. LIVE-трансляции на сайте».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В соответствии с ч. 2 ст. 27 Закона о рекламе реклама основанных на риске игр, пари допускается только: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1) в теле- и радиопрограммах с 22 до 7 часов местного времени, за исключением случая, предусмотренного частью 2.1 настоящей статьи;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2) 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CC">
        <w:rPr>
          <w:rFonts w:ascii="Times New Roman" w:hAnsi="Times New Roman" w:cs="Times New Roman"/>
          <w:sz w:val="28"/>
          <w:szCs w:val="28"/>
        </w:rPr>
        <w:t>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№ 244-ФЗ «О государственном</w:t>
      </w:r>
      <w:proofErr w:type="gramEnd"/>
      <w:r w:rsidRPr="00E21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DCC">
        <w:rPr>
          <w:rFonts w:ascii="Times New Roman" w:hAnsi="Times New Roman" w:cs="Times New Roman"/>
          <w:sz w:val="28"/>
          <w:szCs w:val="28"/>
        </w:rPr>
        <w:t>регулировании</w:t>
      </w:r>
      <w:proofErr w:type="gramEnd"/>
      <w:r w:rsidRPr="00E21DCC">
        <w:rPr>
          <w:rFonts w:ascii="Times New Roman" w:hAnsi="Times New Roman" w:cs="Times New Roman"/>
          <w:sz w:val="28"/>
          <w:szCs w:val="28"/>
        </w:rPr>
        <w:t xml:space="preserve"> деятельности по организации и проведению азартных игр и о внесении изменений в некоторые законодательные акты Российской Федерации».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Вместе с тем, на основании ч. 2.2 ст. 27 Закона о рекламе помимо случаев, предусмотренных частью 2 настоящей статьи, допускаются размещение, распространение рекламы: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1) основанных на риске игр, пари, осуществляемых организаторами азартных игр в букмекерских конторах, и (или) средств индивидуализации организаторов азартных игр в букмекерских конторах: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а) в периодических печатных изданиях, специализирующихся на материалах и сообщениях физкультурно-спортивного характера;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lastRenderedPageBreak/>
        <w:t>б) в информационно-телекоммуникационных сетях общего пользования (в том числе в сети «Интернет»):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на сайтах, зарегистрированных в качестве сетевых изданий, специализирующихся на материалах и сообщениях физкультурно-спортивного характера;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на официальных сайтах общероссийских спортивных федераций либо профессиональных спортивных лиг;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на сайтах, владельцем которых является учредитель телеканала спортивной направленности, не являющегося телеканалом, доступ к которому осуществляется исключительно на платной основе и (или) с применением декодирующих технических устройств;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2) средств индивидуализации организаторов азартных игр в букмекерских конторах: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а) в спортивных сооружениях;</w:t>
      </w:r>
    </w:p>
    <w:p w:rsidR="00E21DCC" w:rsidRP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б) на спортивной форме спортсменов и (или) спортивных клубов.</w:t>
      </w:r>
    </w:p>
    <w:p w:rsidR="00E21DCC" w:rsidRDefault="00E21DCC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DCC">
        <w:rPr>
          <w:rFonts w:ascii="Times New Roman" w:hAnsi="Times New Roman" w:cs="Times New Roman"/>
          <w:sz w:val="28"/>
          <w:szCs w:val="28"/>
        </w:rPr>
        <w:t>Сообщество «ЗБС Хоккей», созданное в социальной сети «</w:t>
      </w:r>
      <w:proofErr w:type="spellStart"/>
      <w:r w:rsidRPr="00E21DC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21DCC">
        <w:rPr>
          <w:rFonts w:ascii="Times New Roman" w:hAnsi="Times New Roman" w:cs="Times New Roman"/>
          <w:sz w:val="28"/>
          <w:szCs w:val="28"/>
        </w:rPr>
        <w:t xml:space="preserve">», не относится к допускаемым Законом о рекламе ресурсам сети «Интернет», в которых разрешено размещение рекламы основанных на риске игр, пари. Кроме того, в рассматриваемой рекламе отсутствуют существенные условия получения бонуса на депозит при ставке, сделанной в букмекерской компании </w:t>
      </w:r>
      <w:proofErr w:type="spellStart"/>
      <w:r w:rsidRPr="00E21DCC">
        <w:rPr>
          <w:rFonts w:ascii="Times New Roman" w:hAnsi="Times New Roman" w:cs="Times New Roman"/>
          <w:sz w:val="28"/>
          <w:szCs w:val="28"/>
        </w:rPr>
        <w:t>MostBet</w:t>
      </w:r>
      <w:proofErr w:type="spellEnd"/>
      <w:r w:rsidRPr="00E21DCC">
        <w:rPr>
          <w:rFonts w:ascii="Times New Roman" w:hAnsi="Times New Roman" w:cs="Times New Roman"/>
          <w:sz w:val="28"/>
          <w:szCs w:val="28"/>
        </w:rPr>
        <w:t xml:space="preserve">, при этом  в рекламе отсутствует обоснованное подтверждение того, что в MOSTBET самые высокие коэффициенты. </w:t>
      </w:r>
      <w:r w:rsidR="003565C5">
        <w:rPr>
          <w:rFonts w:ascii="Times New Roman" w:hAnsi="Times New Roman" w:cs="Times New Roman"/>
          <w:sz w:val="28"/>
          <w:szCs w:val="28"/>
        </w:rPr>
        <w:t xml:space="preserve">В результате рассмотрения дела Томским УФАС России реклама признана ненадлежащей, нарушающей </w:t>
      </w:r>
      <w:r w:rsidRPr="00E21DCC">
        <w:rPr>
          <w:rFonts w:ascii="Times New Roman" w:hAnsi="Times New Roman" w:cs="Times New Roman"/>
          <w:sz w:val="28"/>
          <w:szCs w:val="28"/>
        </w:rPr>
        <w:t>требовани</w:t>
      </w:r>
      <w:r w:rsidR="003565C5">
        <w:rPr>
          <w:rFonts w:ascii="Times New Roman" w:hAnsi="Times New Roman" w:cs="Times New Roman"/>
          <w:sz w:val="28"/>
          <w:szCs w:val="28"/>
        </w:rPr>
        <w:t>я</w:t>
      </w:r>
      <w:r w:rsidRPr="00E21DCC">
        <w:rPr>
          <w:rFonts w:ascii="Times New Roman" w:hAnsi="Times New Roman" w:cs="Times New Roman"/>
          <w:sz w:val="28"/>
          <w:szCs w:val="28"/>
        </w:rPr>
        <w:t xml:space="preserve"> п. 4 ч. 3, ч. 7 ст. 5, ч. 2 ст. 27 Закона о рекламе.</w:t>
      </w:r>
    </w:p>
    <w:p w:rsidR="00E21DCC" w:rsidRPr="00A20760" w:rsidRDefault="003565C5" w:rsidP="00036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760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3565C5" w:rsidRPr="003565C5" w:rsidRDefault="003565C5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5C5">
        <w:rPr>
          <w:rFonts w:ascii="Times New Roman" w:hAnsi="Times New Roman" w:cs="Times New Roman"/>
          <w:sz w:val="28"/>
          <w:szCs w:val="28"/>
        </w:rPr>
        <w:t>В Управление Федеральной антимонопольной службы по Томской области поступило обращение гражданина, направленное Прокуратурой Томской области, о распространении в социальной сети «</w:t>
      </w:r>
      <w:proofErr w:type="spellStart"/>
      <w:r w:rsidRPr="003565C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65C5">
        <w:rPr>
          <w:rFonts w:ascii="Times New Roman" w:hAnsi="Times New Roman" w:cs="Times New Roman"/>
          <w:sz w:val="28"/>
          <w:szCs w:val="28"/>
        </w:rPr>
        <w:t xml:space="preserve">» ненадлежащей рекламы АО «Тинькофф Банк», умалчивающей об условиях оказания соответствующих услуг, </w:t>
      </w:r>
      <w:r w:rsidRPr="003565C5">
        <w:rPr>
          <w:rFonts w:ascii="Times New Roman" w:hAnsi="Times New Roman" w:cs="Times New Roman"/>
          <w:sz w:val="28"/>
          <w:szCs w:val="28"/>
        </w:rPr>
        <w:lastRenderedPageBreak/>
        <w:t>влияющих на сумму доходов при открытии дебетовой карты «Тинькофф Банк» «</w:t>
      </w:r>
      <w:proofErr w:type="spellStart"/>
      <w:r w:rsidRPr="003565C5">
        <w:rPr>
          <w:rFonts w:ascii="Times New Roman" w:hAnsi="Times New Roman" w:cs="Times New Roman"/>
          <w:sz w:val="28"/>
          <w:szCs w:val="28"/>
        </w:rPr>
        <w:t>Allgames</w:t>
      </w:r>
      <w:proofErr w:type="spellEnd"/>
      <w:r w:rsidRPr="003565C5">
        <w:rPr>
          <w:rFonts w:ascii="Times New Roman" w:hAnsi="Times New Roman" w:cs="Times New Roman"/>
          <w:sz w:val="28"/>
          <w:szCs w:val="28"/>
        </w:rPr>
        <w:t>».</w:t>
      </w:r>
    </w:p>
    <w:p w:rsidR="003565C5" w:rsidRPr="003565C5" w:rsidRDefault="003565C5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C5">
        <w:rPr>
          <w:rFonts w:ascii="Times New Roman" w:hAnsi="Times New Roman" w:cs="Times New Roman"/>
          <w:sz w:val="28"/>
          <w:szCs w:val="28"/>
        </w:rPr>
        <w:t>Заявитель указывает, что в социальной сети «</w:t>
      </w:r>
      <w:proofErr w:type="spellStart"/>
      <w:r w:rsidRPr="003565C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65C5">
        <w:rPr>
          <w:rFonts w:ascii="Times New Roman" w:hAnsi="Times New Roman" w:cs="Times New Roman"/>
          <w:sz w:val="28"/>
          <w:szCs w:val="28"/>
        </w:rPr>
        <w:t>» размещена реклама дебетовой карты для геймеров АО «Тинькофф Банк», при этом из условий оформления карты следует, что банком предоставляется возврат с покупок в размере 2%, однако из информации, размещенной на сайте АО «Тинькофф Банк», следует, что 2% возвращается при совершении покупок по избранной категории «</w:t>
      </w:r>
      <w:proofErr w:type="spellStart"/>
      <w:r w:rsidRPr="003565C5">
        <w:rPr>
          <w:rFonts w:ascii="Times New Roman" w:hAnsi="Times New Roman" w:cs="Times New Roman"/>
          <w:sz w:val="28"/>
          <w:szCs w:val="28"/>
        </w:rPr>
        <w:t>Фастфуд</w:t>
      </w:r>
      <w:proofErr w:type="spellEnd"/>
      <w:r w:rsidRPr="003565C5">
        <w:rPr>
          <w:rFonts w:ascii="Times New Roman" w:hAnsi="Times New Roman" w:cs="Times New Roman"/>
          <w:sz w:val="28"/>
          <w:szCs w:val="28"/>
        </w:rPr>
        <w:t xml:space="preserve"> и рестораны».</w:t>
      </w:r>
      <w:proofErr w:type="gramEnd"/>
    </w:p>
    <w:p w:rsidR="003565C5" w:rsidRPr="003565C5" w:rsidRDefault="003565C5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5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65C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3565C5">
        <w:rPr>
          <w:rFonts w:ascii="Times New Roman" w:hAnsi="Times New Roman" w:cs="Times New Roman"/>
          <w:sz w:val="28"/>
          <w:szCs w:val="28"/>
        </w:rPr>
        <w:t xml:space="preserve"> с ч.7 ст.5 Закон</w:t>
      </w:r>
      <w:r w:rsidR="00A146EF">
        <w:rPr>
          <w:rFonts w:ascii="Times New Roman" w:hAnsi="Times New Roman" w:cs="Times New Roman"/>
          <w:sz w:val="28"/>
          <w:szCs w:val="28"/>
        </w:rPr>
        <w:t>а о рекламе</w:t>
      </w:r>
      <w:r w:rsidRPr="003565C5">
        <w:rPr>
          <w:rFonts w:ascii="Times New Roman" w:hAnsi="Times New Roman" w:cs="Times New Roman"/>
          <w:sz w:val="28"/>
          <w:szCs w:val="28"/>
        </w:rPr>
        <w:t xml:space="preserve">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p w:rsidR="003565C5" w:rsidRPr="003565C5" w:rsidRDefault="003565C5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C5">
        <w:rPr>
          <w:rFonts w:ascii="Times New Roman" w:hAnsi="Times New Roman" w:cs="Times New Roman"/>
          <w:sz w:val="28"/>
          <w:szCs w:val="28"/>
        </w:rPr>
        <w:t>Согласно п. 2 ч. 1 ст. 28 Закона о рекламе реклама банковских, страховых и иных финансовых услуг и финансовой деятельности не должна умалчивать об иных условиях оказания соответствующих услуг, влияющих на сумму доходов, которые получат воспользовавшиеся услугами лица, или на сумму расходов, которую понесут воспользовавшиеся услугами лица, если в рекламе сообщается хотя бы одно из таких условий.</w:t>
      </w:r>
      <w:proofErr w:type="gramEnd"/>
    </w:p>
    <w:p w:rsidR="003565C5" w:rsidRPr="003565C5" w:rsidRDefault="00A146EF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Томским УФАС России реклама</w:t>
      </w:r>
      <w:r w:rsidR="003565C5" w:rsidRPr="003565C5">
        <w:rPr>
          <w:rFonts w:ascii="Times New Roman" w:hAnsi="Times New Roman" w:cs="Times New Roman"/>
          <w:sz w:val="28"/>
          <w:szCs w:val="28"/>
        </w:rPr>
        <w:t xml:space="preserve"> дебетовой карты АО «Тинькофф Банк»</w:t>
      </w:r>
      <w:r>
        <w:rPr>
          <w:rFonts w:ascii="Times New Roman" w:hAnsi="Times New Roman" w:cs="Times New Roman"/>
          <w:sz w:val="28"/>
          <w:szCs w:val="28"/>
        </w:rPr>
        <w:t>, размещенная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ненадлежщей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нарушающей требования </w:t>
      </w:r>
      <w:r w:rsidR="003565C5" w:rsidRPr="003565C5">
        <w:rPr>
          <w:rFonts w:ascii="Times New Roman" w:hAnsi="Times New Roman" w:cs="Times New Roman"/>
          <w:sz w:val="28"/>
          <w:szCs w:val="28"/>
        </w:rPr>
        <w:t xml:space="preserve"> </w:t>
      </w:r>
      <w:r w:rsidRPr="003565C5">
        <w:rPr>
          <w:rFonts w:ascii="Times New Roman" w:hAnsi="Times New Roman" w:cs="Times New Roman"/>
          <w:sz w:val="28"/>
          <w:szCs w:val="28"/>
        </w:rPr>
        <w:t>ч.7 ст.5, п.2 ч.2 ст.28  Закона о рекламе</w:t>
      </w:r>
      <w:r>
        <w:rPr>
          <w:rFonts w:ascii="Times New Roman" w:hAnsi="Times New Roman" w:cs="Times New Roman"/>
          <w:sz w:val="28"/>
          <w:szCs w:val="28"/>
        </w:rPr>
        <w:t xml:space="preserve">, поскольку в рекламе </w:t>
      </w:r>
      <w:r w:rsidRPr="003565C5">
        <w:rPr>
          <w:rFonts w:ascii="Times New Roman" w:hAnsi="Times New Roman" w:cs="Times New Roman"/>
          <w:sz w:val="28"/>
          <w:szCs w:val="28"/>
        </w:rPr>
        <w:t xml:space="preserve"> </w:t>
      </w:r>
      <w:r w:rsidR="003565C5" w:rsidRPr="003565C5">
        <w:rPr>
          <w:rFonts w:ascii="Times New Roman" w:hAnsi="Times New Roman" w:cs="Times New Roman"/>
          <w:sz w:val="28"/>
          <w:szCs w:val="28"/>
        </w:rPr>
        <w:t xml:space="preserve">отсутствуют существенные условия о величине возвращаемых с покупок процентов. </w:t>
      </w:r>
    </w:p>
    <w:p w:rsidR="00E21DCC" w:rsidRPr="00A403E4" w:rsidRDefault="00A403E4" w:rsidP="00A2076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по-прежнему </w:t>
      </w:r>
      <w:r w:rsidR="009D385C">
        <w:rPr>
          <w:rFonts w:ascii="Times New Roman" w:hAnsi="Times New Roman" w:cs="Times New Roman"/>
          <w:sz w:val="28"/>
          <w:szCs w:val="28"/>
        </w:rPr>
        <w:t>к наиболее распространенным нарушениям относится</w:t>
      </w:r>
      <w:r>
        <w:rPr>
          <w:rFonts w:ascii="Times New Roman" w:hAnsi="Times New Roman" w:cs="Times New Roman"/>
          <w:sz w:val="28"/>
          <w:szCs w:val="28"/>
        </w:rPr>
        <w:t xml:space="preserve"> размещение ненадлежащей рекламы финансовых услуг и алкогольной продукции. </w:t>
      </w:r>
    </w:p>
    <w:p w:rsidR="006846A3" w:rsidRPr="00A20760" w:rsidRDefault="009D385C" w:rsidP="00036E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0760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9D385C" w:rsidRPr="009D385C" w:rsidRDefault="009D385C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Федеральной антимонопольной службы по Томской области поступило обращение Администрации </w:t>
      </w:r>
      <w:proofErr w:type="spellStart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с указанием на признаки нарушения ст. 28 Федерального закона «О рекламе».  По результатам рассмотрения обращения установлено следующее.</w:t>
      </w:r>
    </w:p>
    <w:p w:rsidR="00C6293F" w:rsidRPr="00C6293F" w:rsidRDefault="009D385C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с. </w:t>
      </w:r>
      <w:proofErr w:type="spellStart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</w:t>
      </w:r>
      <w:proofErr w:type="spellEnd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Каргасокского</w:t>
      </w:r>
      <w:proofErr w:type="spellEnd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по улице </w:t>
      </w:r>
      <w:proofErr w:type="gramStart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Pr="009D385C">
        <w:rPr>
          <w:rFonts w:ascii="Times New Roman" w:eastAsia="Times New Roman" w:hAnsi="Times New Roman" w:cs="Times New Roman"/>
          <w:sz w:val="28"/>
          <w:szCs w:val="28"/>
          <w:lang w:eastAsia="ru-RU"/>
        </w:rPr>
        <w:t>, 70 на внешней стене здания размещен рекламный плакат, содержащий информацию о предоставлении денежных займов Кредитным потребительским кооперативом граждан «Ре</w:t>
      </w:r>
      <w:r w:rsidR="007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зерв»</w:t>
      </w:r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 левом верхнем углу наружной рекламы – «РЕЗЕРВ кредитный потребительский кооператив граждан, далее ниже -  изображение мужчины и женщины; на остальной рекламной  площади – «ДЕНЕЖНЫЕ ЗАЙМЫ всегда под рукой от 12 % годовых, быстрое рассмотрение, минимум документов. Оставить заявку можно по телефону: 2-39-73, 8-901-617-31-77 или на сайте www.kpkg-rezerv.ru», в нижней части рекламы мелким шрифтом – «ставки от 12 % </w:t>
      </w:r>
      <w:proofErr w:type="gramStart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proofErr w:type="gramEnd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до 54 месяцев, сумма до 400 000 рублей, 1 % от суммы займа ежемесячный членский взнос в фонд обеспечения деятельности кооператива, 4,5 % единовременный членский взнос в резервный фонд, 1 % обеспечивающий </w:t>
      </w:r>
      <w:proofErr w:type="spellStart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паевый</w:t>
      </w:r>
      <w:proofErr w:type="spellEnd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(при окончании займа – возвращается). Услуги предоставляются лицам, вступившим в кооператив (</w:t>
      </w:r>
      <w:proofErr w:type="spellStart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паевый</w:t>
      </w:r>
      <w:proofErr w:type="spellEnd"/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100 рублей, при выходе из кооператива возвращается). Кредитный потребительский кооператив граждан «Резерв» ИНН 7011005074 ОГРН 1057000429870».</w:t>
      </w:r>
    </w:p>
    <w:p w:rsidR="00C6293F" w:rsidRDefault="00C6293F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наиболее привлекательные условия оказания услуг - «от 12% годовых»,  «быстрое рассмотрение», «минимум документов» указаны крупным шрифтом, выделяющимся на фоне остальной информации об условиях займа. Иные условия оказания услуг, в частности о сумме и сроке займа, сумме процентов, подлежащей уплате в качестве членского взноса в фонд обеспечения деятельности кооператива, а также другие условия, влияющие на общую сумму займа, указаны мелким, фактически нечитаемым шрифтом.</w:t>
      </w:r>
    </w:p>
    <w:p w:rsidR="007A27DB" w:rsidRPr="007A27DB" w:rsidRDefault="007A27DB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D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информация является существенной для потребителя, поскольку может повлиять на принятие решения им о заключении договора займа.</w:t>
      </w:r>
    </w:p>
    <w:p w:rsidR="00C6293F" w:rsidRDefault="007A27DB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содержании рекламы сведений об указанных условиях, как и об условиях, влияющих на стоимость рекламируемой услуги, вводит потребителя в заблуждение о доступности рекламируемой услуги и, таким образом, искаж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смысл рекламной информации.</w:t>
      </w:r>
    </w:p>
    <w:p w:rsidR="009D385C" w:rsidRPr="000F438D" w:rsidRDefault="009D385C" w:rsidP="00A20760">
      <w:pPr>
        <w:pStyle w:val="ConsPlusNormal"/>
        <w:tabs>
          <w:tab w:val="left" w:pos="6246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дела указанная реклама </w:t>
      </w:r>
      <w:r w:rsid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признана ненадлежащей, поскольку нарушает требования </w:t>
      </w:r>
      <w:r w:rsidR="00C6293F" w:rsidRP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ч.7 ст.5, п.2 ч.2, ч.3 ст.28  </w:t>
      </w:r>
      <w:r w:rsidR="00C62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 рекламе, в целях прекращения распространения ненадлежащей рекламы рекламодателю выдано предписание. </w:t>
      </w:r>
    </w:p>
    <w:p w:rsidR="00957D84" w:rsidRDefault="00294D6C" w:rsidP="00D172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4D6C">
        <w:rPr>
          <w:rFonts w:ascii="Times New Roman" w:hAnsi="Times New Roman" w:cs="Times New Roman"/>
          <w:sz w:val="28"/>
          <w:szCs w:val="28"/>
        </w:rPr>
        <w:t xml:space="preserve">Так же не редкими являются нарушения законодательства о рекламе при распространении рекламы алкогольной продукции, в том числе вблизи детских образовательных учреждений. </w:t>
      </w:r>
      <w:r>
        <w:rPr>
          <w:rFonts w:ascii="Times New Roman" w:hAnsi="Times New Roman" w:cs="Times New Roman"/>
          <w:sz w:val="28"/>
          <w:szCs w:val="28"/>
        </w:rPr>
        <w:t xml:space="preserve"> Указанные факты нарушения выявляются в рамках контрольно-надзорной деятельности, а также по результатам рассмотрения обращений граждан.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21 Закона о рекламе установлены требования к распространению рекламы алкогольной продукции</w:t>
      </w:r>
      <w:r w:rsidR="00E86F0A">
        <w:rPr>
          <w:rFonts w:ascii="Times New Roman" w:hAnsi="Times New Roman" w:cs="Times New Roman"/>
          <w:sz w:val="28"/>
          <w:szCs w:val="28"/>
        </w:rPr>
        <w:t>, п</w:t>
      </w:r>
      <w:r w:rsidRPr="00EC4A06">
        <w:rPr>
          <w:rFonts w:ascii="Times New Roman" w:hAnsi="Times New Roman" w:cs="Times New Roman"/>
          <w:sz w:val="28"/>
          <w:szCs w:val="28"/>
        </w:rPr>
        <w:t>ри этом данная статья содержит как требования, предъявляемые к рекламе любой алкогольной продукции, так и специальные требования, предъявляемые к рекламе алкогольной продукции отдельных категорий.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 xml:space="preserve">К таким отдельным категориям алкогольной продукции статья 21 </w:t>
      </w:r>
      <w:r w:rsidR="00E86F0A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EC4A06">
        <w:rPr>
          <w:rFonts w:ascii="Times New Roman" w:hAnsi="Times New Roman" w:cs="Times New Roman"/>
          <w:sz w:val="28"/>
          <w:szCs w:val="28"/>
        </w:rPr>
        <w:t xml:space="preserve"> относит: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- пиво и напитки, изготавливаемые на основе пива,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06">
        <w:rPr>
          <w:rFonts w:ascii="Times New Roman" w:hAnsi="Times New Roman" w:cs="Times New Roman"/>
          <w:sz w:val="28"/>
          <w:szCs w:val="28"/>
        </w:rPr>
        <w:t>- вино и игристое вино (шампанское), произведенные в Российской Федерации из выращенного на территории Российской Федерации винограда,</w:t>
      </w:r>
      <w:proofErr w:type="gramEnd"/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- алкогольная продукция с содержанием этилового спирта пять и более процентов объема готовой продукции.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Соответственно, нормы, устанавливающие требования к рекламе алкогольной продукции указанных категорий, являются специальными по отношению к общим нормам, установленным для рекламы алкогольной продукции.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A06">
        <w:rPr>
          <w:rFonts w:ascii="Times New Roman" w:hAnsi="Times New Roman" w:cs="Times New Roman"/>
          <w:sz w:val="28"/>
          <w:szCs w:val="28"/>
        </w:rPr>
        <w:t>Согласно статье 2 Федерального з</w:t>
      </w:r>
      <w:r w:rsidR="00E86F0A">
        <w:rPr>
          <w:rFonts w:ascii="Times New Roman" w:hAnsi="Times New Roman" w:cs="Times New Roman"/>
          <w:sz w:val="28"/>
          <w:szCs w:val="28"/>
        </w:rPr>
        <w:t>акона «</w:t>
      </w:r>
      <w:r w:rsidRPr="00EC4A06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E86F0A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EC4A06">
        <w:rPr>
          <w:rFonts w:ascii="Times New Roman" w:hAnsi="Times New Roman" w:cs="Times New Roman"/>
          <w:sz w:val="28"/>
          <w:szCs w:val="28"/>
        </w:rPr>
        <w:t xml:space="preserve"> под алкогольной продукцией понимается пищевая продукция, которая произведена с использованием или без использования этилового спирта, произведенного из пищевого сырья, и (или) спиртосодержащей пищевой продукции, с содержанием </w:t>
      </w:r>
      <w:r w:rsidRPr="00EC4A06">
        <w:rPr>
          <w:rFonts w:ascii="Times New Roman" w:hAnsi="Times New Roman" w:cs="Times New Roman"/>
          <w:sz w:val="28"/>
          <w:szCs w:val="28"/>
        </w:rPr>
        <w:lastRenderedPageBreak/>
        <w:t>этилового спирта более 0,5 процента объема готовой продукции, за исключением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 xml:space="preserve"> пищевой продукции в соответствии с перечнем, установленным Правительством Российской Федерации.</w:t>
      </w:r>
    </w:p>
    <w:p w:rsidR="00EC4A06" w:rsidRPr="00EC4A06" w:rsidRDefault="00E86F0A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так называемые «безалкогольное пиво», «безалкогольное вино»</w:t>
      </w:r>
      <w:r w:rsidR="00EC4A06" w:rsidRPr="00EC4A06">
        <w:rPr>
          <w:rFonts w:ascii="Times New Roman" w:hAnsi="Times New Roman" w:cs="Times New Roman"/>
          <w:sz w:val="28"/>
          <w:szCs w:val="28"/>
        </w:rPr>
        <w:t xml:space="preserve"> с содержанием этилового спирта не более 0,5 процента объема готовой продукции, не подпадают под понятие алкогольной продукции.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Реклама пива и напитков, изготавливаемых на основе пива (независимо от количества этилового спирта в готовой продукции, но более 0,5 процента объема готовой продукции), не должна размещаться: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1) на первой и последней полосах газет, а также на первой и последней страницах и обложках журналов;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2) в предназначенных для несовершеннолетних печатных изданиях, аудио- и видеопродукции;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3) в телепрограммах и радиопрограммах (за исключением трансляции в прямом эфире или в записи спортивных соревнований (в том числе спортивных матчей, игр, боев, гонок), кроме детско-юношеских спортивных соревнований, а также на телеканалах и радиоканалах, специализирующихся на материалах и сообщениях физкультурно-спортивного характера), при кин</w:t>
      </w:r>
      <w:proofErr w:type="gramStart"/>
      <w:r w:rsidRPr="00EC4A0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4A06">
        <w:rPr>
          <w:rFonts w:ascii="Times New Roman" w:hAnsi="Times New Roman" w:cs="Times New Roman"/>
          <w:sz w:val="28"/>
          <w:szCs w:val="28"/>
        </w:rPr>
        <w:t>видеообслуживании</w:t>
      </w:r>
      <w:proofErr w:type="spellEnd"/>
      <w:r w:rsidRPr="00EC4A06">
        <w:rPr>
          <w:rFonts w:ascii="Times New Roman" w:hAnsi="Times New Roman" w:cs="Times New Roman"/>
          <w:sz w:val="28"/>
          <w:szCs w:val="28"/>
        </w:rPr>
        <w:t>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4) на всех видах транспортных средств общего пользования и с их использованием, а также снаружи и внутри зданий, сооружений, обеспечивающих функционирование транспортных средств общего пользования, за исключением мест, в которых осуществляется розничная продажа алкогольной продукции;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5) с использованием технических сре</w:t>
      </w:r>
      <w:proofErr w:type="gramStart"/>
      <w:r w:rsidRPr="00EC4A06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 xml:space="preserve">6) в детских, образовательных, медицинских, санаторно-курортных, оздоровительных, военных организациях, театрах, цирках, музеях, домах и дворцах культуры, концертных и выставочных залах, библиотеках, лекториях, планетариях и </w:t>
      </w:r>
      <w:r w:rsidRPr="00EC4A06">
        <w:rPr>
          <w:rFonts w:ascii="Times New Roman" w:hAnsi="Times New Roman" w:cs="Times New Roman"/>
          <w:sz w:val="28"/>
          <w:szCs w:val="28"/>
        </w:rPr>
        <w:lastRenderedPageBreak/>
        <w:t xml:space="preserve">на расстоянии </w:t>
      </w:r>
      <w:proofErr w:type="gramStart"/>
      <w:r w:rsidRPr="00EC4A06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 xml:space="preserve"> чем сто метров от занимаемых ими зданий, строений, сооружений;</w:t>
      </w:r>
    </w:p>
    <w:p w:rsidR="00EC4A06" w:rsidRPr="00EC4A06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 xml:space="preserve">7) в физкультурно-оздоровительных, спортивных сооружениях и на расстоянии </w:t>
      </w:r>
      <w:proofErr w:type="gramStart"/>
      <w:r w:rsidRPr="00EC4A06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 xml:space="preserve"> чем сто метров от таких сооружений (в период проведения официальных спортивных мероприятий допускаются размещение, распространение рекламы средств индивидуализации юридического лица, являющегося производителем пива и напитков, изготавливаемых на основе пива, средств индивидуализации производимых им товаров в виде словесных обозначений, содержащих исключительно наименование производимой им продукции или наименование производителя - юридического лица, если размещение, распространение данной рекламы осуществляются в физкультурно-оздоровительных, спортивных сооружениях и на расстоянии </w:t>
      </w:r>
      <w:proofErr w:type="gramStart"/>
      <w:r w:rsidRPr="00EC4A06">
        <w:rPr>
          <w:rFonts w:ascii="Times New Roman" w:hAnsi="Times New Roman" w:cs="Times New Roman"/>
          <w:sz w:val="28"/>
          <w:szCs w:val="28"/>
        </w:rPr>
        <w:t>ближе</w:t>
      </w:r>
      <w:proofErr w:type="gramEnd"/>
      <w:r w:rsidRPr="00EC4A06">
        <w:rPr>
          <w:rFonts w:ascii="Times New Roman" w:hAnsi="Times New Roman" w:cs="Times New Roman"/>
          <w:sz w:val="28"/>
          <w:szCs w:val="28"/>
        </w:rPr>
        <w:t xml:space="preserve"> чем сто метров от таких сооружений);</w:t>
      </w:r>
    </w:p>
    <w:p w:rsidR="00294D6C" w:rsidRDefault="00EC4A06" w:rsidP="00EC4A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A06">
        <w:rPr>
          <w:rFonts w:ascii="Times New Roman" w:hAnsi="Times New Roman" w:cs="Times New Roman"/>
          <w:sz w:val="28"/>
          <w:szCs w:val="28"/>
        </w:rPr>
        <w:t>8) в информаци</w:t>
      </w:r>
      <w:r w:rsidR="00E86F0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C4A06">
        <w:rPr>
          <w:rFonts w:ascii="Times New Roman" w:hAnsi="Times New Roman" w:cs="Times New Roman"/>
          <w:sz w:val="28"/>
          <w:szCs w:val="28"/>
        </w:rPr>
        <w:t>.</w:t>
      </w:r>
    </w:p>
    <w:p w:rsidR="00E86F0A" w:rsidRPr="00DC0CE9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C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B06746" w:rsidRPr="00B06746" w:rsidRDefault="00B06746" w:rsidP="00B067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6746">
        <w:rPr>
          <w:rFonts w:ascii="Times New Roman" w:hAnsi="Times New Roman" w:cs="Times New Roman"/>
          <w:sz w:val="28"/>
          <w:szCs w:val="28"/>
        </w:rPr>
        <w:t xml:space="preserve">ри осуществлении государственного надзора за соблюдением законодательства Российской Федерации о рекламе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Томского УФАС России </w:t>
      </w:r>
      <w:r w:rsidRPr="00B06746"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E86F0A" w:rsidRPr="00E86F0A" w:rsidRDefault="00B06746" w:rsidP="00B067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746">
        <w:rPr>
          <w:rFonts w:ascii="Times New Roman" w:hAnsi="Times New Roman" w:cs="Times New Roman"/>
          <w:sz w:val="28"/>
          <w:szCs w:val="28"/>
        </w:rPr>
        <w:t>В г. Томске на фасаде здания по адресу ул. Архитектора Василия Болдырева, д.2а, расположенного на расстоянии 162 м от остановки наземного транспорта (остановки Энтузиастов), на расстоянии 280 м от Центра развития ребенка-детский сад №82  (по адресу г. Томск, Василия Болдырева, 7)  размещалась следующая информация:  «удар по ценам сеть магазинов разливных напитков Пенная кружка «Товар месяца» «Бочковое» разлив св. алк</w:t>
      </w:r>
      <w:proofErr w:type="gramEnd"/>
      <w:r w:rsidRPr="00B06746">
        <w:rPr>
          <w:rFonts w:ascii="Times New Roman" w:hAnsi="Times New Roman" w:cs="Times New Roman"/>
          <w:sz w:val="28"/>
          <w:szCs w:val="28"/>
        </w:rPr>
        <w:t xml:space="preserve">.4,5% 110 руб. 79 руб. - 28% (слева от текста изображен бокал с пенным напитком желтого цвета); «Немецкое томское» разлив св. </w:t>
      </w:r>
      <w:proofErr w:type="spellStart"/>
      <w:r w:rsidRPr="00B06746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Pr="00B06746">
        <w:rPr>
          <w:rFonts w:ascii="Times New Roman" w:hAnsi="Times New Roman" w:cs="Times New Roman"/>
          <w:sz w:val="28"/>
          <w:szCs w:val="28"/>
        </w:rPr>
        <w:t xml:space="preserve">. 4,0% 89 руб. 69 руб. -22 % (справа от текста изображено средство индивидуализации производителя пива - Томское пиво и бокал с пенным напитком желтого цвета); </w:t>
      </w:r>
      <w:proofErr w:type="gramStart"/>
      <w:r w:rsidRPr="00B06746">
        <w:rPr>
          <w:rFonts w:ascii="Times New Roman" w:hAnsi="Times New Roman" w:cs="Times New Roman"/>
          <w:sz w:val="28"/>
          <w:szCs w:val="28"/>
        </w:rPr>
        <w:t xml:space="preserve">«WILD LAGER» шт. ж/б алк.4,8% 67 руб. 49 руб.; «Чешское элитное» разлив св. </w:t>
      </w:r>
      <w:proofErr w:type="spellStart"/>
      <w:r w:rsidRPr="00B06746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Pr="00B06746">
        <w:rPr>
          <w:rFonts w:ascii="Times New Roman" w:hAnsi="Times New Roman" w:cs="Times New Roman"/>
          <w:sz w:val="28"/>
          <w:szCs w:val="28"/>
        </w:rPr>
        <w:t>. 4,7% 104 руб. 79 руб. -24, «лимонад» разлив, 38 руб.,32 руб., -15%, сухарики «коронные» в ассортименте цена за 100 гр., 45 руб., 31 руб. -</w:t>
      </w:r>
      <w:r w:rsidRPr="00B06746">
        <w:rPr>
          <w:rFonts w:ascii="Times New Roman" w:hAnsi="Times New Roman" w:cs="Times New Roman"/>
          <w:sz w:val="28"/>
          <w:szCs w:val="28"/>
        </w:rPr>
        <w:lastRenderedPageBreak/>
        <w:t>31%, чипсы из курицы «классические» цена за 100 гр., 120 руб., 96 руб., -20%, «мясной хворост» цена за 100</w:t>
      </w:r>
      <w:proofErr w:type="gramEnd"/>
      <w:r w:rsidRPr="00B06746">
        <w:rPr>
          <w:rFonts w:ascii="Times New Roman" w:hAnsi="Times New Roman" w:cs="Times New Roman"/>
          <w:sz w:val="28"/>
          <w:szCs w:val="28"/>
        </w:rPr>
        <w:t xml:space="preserve"> гр., 130 руб., 104 руб., - 20%, арахис в глазури в ассортименте цена за 100 гр., 45 руб., 36 руб., -20%, чипсы из говядины цена за 100 гр., 170 руб., 129 руб., -24%, Количество </w:t>
      </w:r>
      <w:proofErr w:type="spellStart"/>
      <w:r w:rsidRPr="00B06746">
        <w:rPr>
          <w:rFonts w:ascii="Times New Roman" w:hAnsi="Times New Roman" w:cs="Times New Roman"/>
          <w:sz w:val="28"/>
          <w:szCs w:val="28"/>
        </w:rPr>
        <w:t>акционного</w:t>
      </w:r>
      <w:proofErr w:type="spellEnd"/>
      <w:r w:rsidRPr="00B06746">
        <w:rPr>
          <w:rFonts w:ascii="Times New Roman" w:hAnsi="Times New Roman" w:cs="Times New Roman"/>
          <w:sz w:val="28"/>
          <w:szCs w:val="28"/>
        </w:rPr>
        <w:t xml:space="preserve"> товара ограничено! Товар по акции может быть заменен </w:t>
      </w:r>
      <w:proofErr w:type="gramStart"/>
      <w:r w:rsidRPr="00B0674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6746">
        <w:rPr>
          <w:rFonts w:ascii="Times New Roman" w:hAnsi="Times New Roman" w:cs="Times New Roman"/>
          <w:sz w:val="28"/>
          <w:szCs w:val="28"/>
        </w:rPr>
        <w:t xml:space="preserve"> аналогичный! Пенная кружка. РФ Чрезмерное употребление алкоголя вредит вашему здоровью». При этом надпись «Чрезмерное употребление алкоголя вредит вашему здоровью» составляет менее десяти процентов рекламной площади.</w:t>
      </w:r>
    </w:p>
    <w:p w:rsidR="00583370" w:rsidRPr="00583370" w:rsidRDefault="00A65DD9" w:rsidP="005833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3370" w:rsidRPr="00583370">
        <w:rPr>
          <w:rFonts w:ascii="Times New Roman" w:hAnsi="Times New Roman" w:cs="Times New Roman"/>
          <w:sz w:val="28"/>
          <w:szCs w:val="28"/>
        </w:rPr>
        <w:t xml:space="preserve">бъектом рекламирования в рассматриваемой рекламе является, в том числе, алкогольная продукция – пиво, реализуемое в магазине разливных напитков ООО «Пенная кружка», а именно «Бочковое» </w:t>
      </w:r>
      <w:proofErr w:type="spellStart"/>
      <w:r w:rsidR="00583370" w:rsidRPr="00583370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="00583370" w:rsidRPr="00583370">
        <w:rPr>
          <w:rFonts w:ascii="Times New Roman" w:hAnsi="Times New Roman" w:cs="Times New Roman"/>
          <w:sz w:val="28"/>
          <w:szCs w:val="28"/>
        </w:rPr>
        <w:t xml:space="preserve">. 4,5%; «Немецкое томское» </w:t>
      </w:r>
      <w:proofErr w:type="spellStart"/>
      <w:r w:rsidR="00583370" w:rsidRPr="00583370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="00583370" w:rsidRPr="00583370">
        <w:rPr>
          <w:rFonts w:ascii="Times New Roman" w:hAnsi="Times New Roman" w:cs="Times New Roman"/>
          <w:sz w:val="28"/>
          <w:szCs w:val="28"/>
        </w:rPr>
        <w:t xml:space="preserve">. 4,0%; «WILD LAGER» алк.4,8%; «Чешское элитное» </w:t>
      </w:r>
      <w:proofErr w:type="spellStart"/>
      <w:r w:rsidR="00583370" w:rsidRPr="00583370">
        <w:rPr>
          <w:rFonts w:ascii="Times New Roman" w:hAnsi="Times New Roman" w:cs="Times New Roman"/>
          <w:sz w:val="28"/>
          <w:szCs w:val="28"/>
        </w:rPr>
        <w:t>алк</w:t>
      </w:r>
      <w:proofErr w:type="spellEnd"/>
      <w:r w:rsidR="00583370" w:rsidRPr="00583370">
        <w:rPr>
          <w:rFonts w:ascii="Times New Roman" w:hAnsi="Times New Roman" w:cs="Times New Roman"/>
          <w:sz w:val="28"/>
          <w:szCs w:val="28"/>
        </w:rPr>
        <w:t>. 4,7%.</w:t>
      </w:r>
    </w:p>
    <w:p w:rsidR="00583370" w:rsidRPr="00583370" w:rsidRDefault="00583370" w:rsidP="005833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70">
        <w:rPr>
          <w:rFonts w:ascii="Times New Roman" w:hAnsi="Times New Roman" w:cs="Times New Roman"/>
          <w:sz w:val="28"/>
          <w:szCs w:val="28"/>
        </w:rPr>
        <w:t xml:space="preserve">Согласно пункту 5 части 2 статьи 21 </w:t>
      </w:r>
      <w:r w:rsidR="00A65DD9">
        <w:rPr>
          <w:rFonts w:ascii="Times New Roman" w:hAnsi="Times New Roman" w:cs="Times New Roman"/>
          <w:sz w:val="28"/>
          <w:szCs w:val="28"/>
        </w:rPr>
        <w:t>Закона о рекламе</w:t>
      </w:r>
      <w:r w:rsidRPr="00583370">
        <w:rPr>
          <w:rFonts w:ascii="Times New Roman" w:hAnsi="Times New Roman" w:cs="Times New Roman"/>
          <w:sz w:val="28"/>
          <w:szCs w:val="28"/>
        </w:rPr>
        <w:t xml:space="preserve"> реклама алкогольной продукции не должна размещаться с использованием технических сре</w:t>
      </w:r>
      <w:proofErr w:type="gramStart"/>
      <w:r w:rsidRPr="0058337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583370">
        <w:rPr>
          <w:rFonts w:ascii="Times New Roman" w:hAnsi="Times New Roman" w:cs="Times New Roman"/>
          <w:sz w:val="28"/>
          <w:szCs w:val="28"/>
        </w:rPr>
        <w:t>абильного территориального размещения (рекламных конструкций), монтируемых и располагаемых на крышах, внешних стенах и иных конструктивных элементах зданий, строений, сооружений или вне их.</w:t>
      </w:r>
    </w:p>
    <w:p w:rsidR="00583370" w:rsidRPr="00583370" w:rsidRDefault="00583370" w:rsidP="005833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70">
        <w:rPr>
          <w:rFonts w:ascii="Times New Roman" w:hAnsi="Times New Roman" w:cs="Times New Roman"/>
          <w:sz w:val="28"/>
          <w:szCs w:val="28"/>
        </w:rPr>
        <w:t xml:space="preserve">Согласно части 3 статьи 21 </w:t>
      </w:r>
      <w:r w:rsidR="00A65DD9">
        <w:rPr>
          <w:rFonts w:ascii="Times New Roman" w:hAnsi="Times New Roman" w:cs="Times New Roman"/>
          <w:sz w:val="28"/>
          <w:szCs w:val="28"/>
        </w:rPr>
        <w:t>Закона о рекламе</w:t>
      </w:r>
      <w:r w:rsidR="00A65DD9" w:rsidRPr="00583370">
        <w:rPr>
          <w:rFonts w:ascii="Times New Roman" w:hAnsi="Times New Roman" w:cs="Times New Roman"/>
          <w:sz w:val="28"/>
          <w:szCs w:val="28"/>
        </w:rPr>
        <w:t xml:space="preserve"> </w:t>
      </w:r>
      <w:r w:rsidRPr="00583370">
        <w:rPr>
          <w:rFonts w:ascii="Times New Roman" w:hAnsi="Times New Roman" w:cs="Times New Roman"/>
          <w:sz w:val="28"/>
          <w:szCs w:val="28"/>
        </w:rPr>
        <w:t>реклама алкогольной продукции в каждом случае должна сопровождаться предупреждением о вреде ее чрезмерного потребления, причем такому предупреждению должно быть отведено не менее чем десять процентов рекламной площади (пространства).</w:t>
      </w:r>
    </w:p>
    <w:p w:rsidR="00DC0CE9" w:rsidRDefault="00583370" w:rsidP="005833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3370">
        <w:rPr>
          <w:rFonts w:ascii="Times New Roman" w:hAnsi="Times New Roman" w:cs="Times New Roman"/>
          <w:sz w:val="28"/>
          <w:szCs w:val="28"/>
        </w:rPr>
        <w:t>Рассматриваемая реклама алкогольной продукции – пива – размещена на рекламной конструкции, монтируемой и расположенной с использованием технических сре</w:t>
      </w:r>
      <w:proofErr w:type="gramStart"/>
      <w:r w:rsidRPr="00583370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583370">
        <w:rPr>
          <w:rFonts w:ascii="Times New Roman" w:hAnsi="Times New Roman" w:cs="Times New Roman"/>
          <w:sz w:val="28"/>
          <w:szCs w:val="28"/>
        </w:rPr>
        <w:t xml:space="preserve">абильного территориального размещения на внешней стене здания, </w:t>
      </w:r>
      <w:r w:rsidR="00DC0CE9">
        <w:rPr>
          <w:rFonts w:ascii="Times New Roman" w:hAnsi="Times New Roman" w:cs="Times New Roman"/>
          <w:sz w:val="28"/>
          <w:szCs w:val="28"/>
        </w:rPr>
        <w:t xml:space="preserve">предупреждению о вреде </w:t>
      </w:r>
      <w:r w:rsidR="00DC0CE9" w:rsidRPr="00DC0CE9">
        <w:rPr>
          <w:rFonts w:ascii="Times New Roman" w:hAnsi="Times New Roman" w:cs="Times New Roman"/>
          <w:sz w:val="28"/>
          <w:szCs w:val="28"/>
        </w:rPr>
        <w:t>чрезмерного потребления</w:t>
      </w:r>
      <w:r w:rsidR="00DC0CE9">
        <w:rPr>
          <w:rFonts w:ascii="Times New Roman" w:hAnsi="Times New Roman" w:cs="Times New Roman"/>
          <w:sz w:val="28"/>
          <w:szCs w:val="28"/>
        </w:rPr>
        <w:t xml:space="preserve"> алкогольной продукции отведено </w:t>
      </w:r>
      <w:r w:rsidR="00DC0CE9" w:rsidRPr="00583370">
        <w:rPr>
          <w:rFonts w:ascii="Times New Roman" w:hAnsi="Times New Roman" w:cs="Times New Roman"/>
          <w:sz w:val="28"/>
          <w:szCs w:val="28"/>
        </w:rPr>
        <w:t>менее десяти процентов рекламной площади</w:t>
      </w:r>
      <w:r w:rsidR="00DC0CE9">
        <w:rPr>
          <w:rFonts w:ascii="Times New Roman" w:hAnsi="Times New Roman" w:cs="Times New Roman"/>
          <w:sz w:val="28"/>
          <w:szCs w:val="28"/>
        </w:rPr>
        <w:t>, что является нарушением п. 5 ч. 2, ч. 3 ст. 21 Закона о рекламе.</w:t>
      </w:r>
    </w:p>
    <w:p w:rsidR="00DC0CE9" w:rsidRPr="00DC0CE9" w:rsidRDefault="00DC0CE9" w:rsidP="0058337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0C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</w:p>
    <w:p w:rsidR="00DC0CE9" w:rsidRPr="00DC0CE9" w:rsidRDefault="00DC0CE9" w:rsidP="00DC0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CE9"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по Томской области поступило обращение гражданина, перенаправленное Комитетом по </w:t>
      </w:r>
      <w:r w:rsidRPr="00DC0CE9">
        <w:rPr>
          <w:rFonts w:ascii="Times New Roman" w:hAnsi="Times New Roman" w:cs="Times New Roman"/>
          <w:sz w:val="28"/>
          <w:szCs w:val="28"/>
        </w:rPr>
        <w:lastRenderedPageBreak/>
        <w:t xml:space="preserve">лицензированию Томской области, по факту розничной продажи алкогольной продукции на территории, прилегающей к общеобразовательному учреждению. </w:t>
      </w:r>
    </w:p>
    <w:p w:rsidR="00DC0CE9" w:rsidRDefault="00DC0CE9" w:rsidP="00DC0CE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E9">
        <w:rPr>
          <w:rFonts w:ascii="Times New Roman" w:hAnsi="Times New Roman" w:cs="Times New Roman"/>
          <w:sz w:val="28"/>
          <w:szCs w:val="28"/>
        </w:rPr>
        <w:t>Из обращения следует, что в торговом объекте «Хмелёк», располагающемся по адресу: г. Томск, ул. Елизаровых, 46/1, осуществляется розничная продажа алкогольной продукции на территории, прилегающей к муниципальному автономному общеобразовательному учреждению средней общеобразовательной школы № 42 (г. Томск, ул. Елизаровых, 47),</w:t>
      </w:r>
      <w:r>
        <w:rPr>
          <w:rFonts w:ascii="Times New Roman" w:hAnsi="Times New Roman" w:cs="Times New Roman"/>
          <w:sz w:val="28"/>
          <w:szCs w:val="28"/>
        </w:rPr>
        <w:t xml:space="preserve"> т.е. на расстоянии ближе, чем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0CE9">
        <w:rPr>
          <w:rFonts w:ascii="Times New Roman" w:hAnsi="Times New Roman" w:cs="Times New Roman"/>
          <w:sz w:val="28"/>
          <w:szCs w:val="28"/>
        </w:rPr>
        <w:t xml:space="preserve"> размещена реклама алкогольной продукции следующего содержания:</w:t>
      </w:r>
      <w:proofErr w:type="gramEnd"/>
      <w:r w:rsidRPr="00DC0CE9">
        <w:rPr>
          <w:rFonts w:ascii="Times New Roman" w:hAnsi="Times New Roman" w:cs="Times New Roman"/>
          <w:sz w:val="28"/>
          <w:szCs w:val="28"/>
        </w:rPr>
        <w:t xml:space="preserve"> «Мы открылись! Пиво в </w:t>
      </w:r>
      <w:proofErr w:type="spellStart"/>
      <w:r w:rsidRPr="00DC0CE9">
        <w:rPr>
          <w:rFonts w:ascii="Times New Roman" w:hAnsi="Times New Roman" w:cs="Times New Roman"/>
          <w:sz w:val="28"/>
          <w:szCs w:val="28"/>
        </w:rPr>
        <w:t>кегах</w:t>
      </w:r>
      <w:proofErr w:type="spellEnd"/>
      <w:r w:rsidRPr="00DC0CE9">
        <w:rPr>
          <w:rFonts w:ascii="Times New Roman" w:hAnsi="Times New Roman" w:cs="Times New Roman"/>
          <w:sz w:val="28"/>
          <w:szCs w:val="28"/>
        </w:rPr>
        <w:t xml:space="preserve">, лимонад, квас и другие напитки на розлив, вкусная рыба, снеки; Идешь на рыбалку? Природу? Домой? Купи </w:t>
      </w:r>
      <w:proofErr w:type="gramStart"/>
      <w:r w:rsidRPr="00DC0CE9">
        <w:rPr>
          <w:rFonts w:ascii="Times New Roman" w:hAnsi="Times New Roman" w:cs="Times New Roman"/>
          <w:sz w:val="28"/>
          <w:szCs w:val="28"/>
        </w:rPr>
        <w:t>разливного</w:t>
      </w:r>
      <w:proofErr w:type="gramEnd"/>
      <w:r w:rsidRPr="00DC0CE9">
        <w:rPr>
          <w:rFonts w:ascii="Times New Roman" w:hAnsi="Times New Roman" w:cs="Times New Roman"/>
          <w:sz w:val="28"/>
          <w:szCs w:val="28"/>
        </w:rPr>
        <w:t xml:space="preserve"> в дорогу с собой! Купи лимонада и кваса возьми! Напитком холодным себя освежи!».</w:t>
      </w:r>
    </w:p>
    <w:p w:rsidR="00E86F0A" w:rsidRDefault="00DC0CE9" w:rsidP="00794C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 августа Комисси</w:t>
      </w:r>
      <w:r w:rsidR="00794C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Томского УФАС России указанная реклама признана </w:t>
      </w:r>
      <w:r w:rsidR="00794C8C">
        <w:rPr>
          <w:rFonts w:ascii="Times New Roman" w:hAnsi="Times New Roman" w:cs="Times New Roman"/>
          <w:sz w:val="28"/>
          <w:szCs w:val="28"/>
        </w:rPr>
        <w:t xml:space="preserve">ненадлежащей, нарушающей требования </w:t>
      </w:r>
      <w:r w:rsidR="00794C8C" w:rsidRPr="00794C8C">
        <w:rPr>
          <w:rFonts w:ascii="Times New Roman" w:hAnsi="Times New Roman" w:cs="Times New Roman"/>
          <w:sz w:val="28"/>
          <w:szCs w:val="28"/>
        </w:rPr>
        <w:t>п.5,6 ч.2, ч. 3 ст.21 Закона о рекламе</w:t>
      </w:r>
      <w:r w:rsidR="00794C8C">
        <w:rPr>
          <w:rFonts w:ascii="Times New Roman" w:hAnsi="Times New Roman" w:cs="Times New Roman"/>
          <w:sz w:val="28"/>
          <w:szCs w:val="28"/>
        </w:rPr>
        <w:t xml:space="preserve">,  поскольку </w:t>
      </w:r>
      <w:r w:rsidR="00794C8C" w:rsidRPr="00794C8C">
        <w:rPr>
          <w:rFonts w:ascii="Times New Roman" w:hAnsi="Times New Roman" w:cs="Times New Roman"/>
          <w:sz w:val="28"/>
          <w:szCs w:val="28"/>
        </w:rPr>
        <w:t xml:space="preserve">реклама алкогольной продукции размещена наружным способом вблизи образовательного учреждения </w:t>
      </w:r>
      <w:r w:rsidR="00794C8C">
        <w:rPr>
          <w:rFonts w:ascii="Times New Roman" w:hAnsi="Times New Roman" w:cs="Times New Roman"/>
          <w:sz w:val="28"/>
          <w:szCs w:val="28"/>
        </w:rPr>
        <w:t xml:space="preserve">(на расстоянии менее 100 метров) </w:t>
      </w:r>
      <w:r w:rsidR="00794C8C" w:rsidRPr="00794C8C">
        <w:rPr>
          <w:rFonts w:ascii="Times New Roman" w:hAnsi="Times New Roman" w:cs="Times New Roman"/>
          <w:sz w:val="28"/>
          <w:szCs w:val="28"/>
        </w:rPr>
        <w:t>в отсутствие предупреждения о вреде ее чрезмерного потребления</w:t>
      </w:r>
      <w:r w:rsidR="00794C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F0A" w:rsidRDefault="00E86F0A" w:rsidP="00E86F0A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Вместе с тем, 14 июня 2018 года в первом чтении принят проект </w:t>
      </w:r>
      <w:r w:rsidRPr="00E86F0A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86F0A">
        <w:rPr>
          <w:rFonts w:ascii="Times New Roman" w:hAnsi="Times New Roman" w:cs="Times New Roman"/>
          <w:sz w:val="28"/>
          <w:szCs w:val="28"/>
        </w:rPr>
        <w:t xml:space="preserve"> 377753-7</w:t>
      </w:r>
      <w:r>
        <w:rPr>
          <w:rFonts w:ascii="Times New Roman" w:hAnsi="Times New Roman" w:cs="Times New Roman"/>
          <w:sz w:val="28"/>
          <w:szCs w:val="28"/>
        </w:rPr>
        <w:t>, согласно которому в</w:t>
      </w:r>
      <w:r w:rsidRPr="00E86F0A">
        <w:rPr>
          <w:rFonts w:ascii="Times New Roman" w:hAnsi="Times New Roman" w:cs="Times New Roman"/>
          <w:sz w:val="28"/>
          <w:szCs w:val="28"/>
        </w:rPr>
        <w:t xml:space="preserve">ино </w:t>
      </w:r>
      <w:r>
        <w:rPr>
          <w:rFonts w:ascii="Times New Roman" w:hAnsi="Times New Roman" w:cs="Times New Roman"/>
          <w:sz w:val="28"/>
          <w:szCs w:val="28"/>
        </w:rPr>
        <w:t>Евразийского экономического союза (</w:t>
      </w:r>
      <w:r w:rsidRPr="00E86F0A">
        <w:rPr>
          <w:rFonts w:ascii="Times New Roman" w:hAnsi="Times New Roman" w:cs="Times New Roman"/>
          <w:sz w:val="28"/>
          <w:szCs w:val="28"/>
        </w:rPr>
        <w:t>ЕАЭС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6F0A">
        <w:rPr>
          <w:rFonts w:ascii="Times New Roman" w:hAnsi="Times New Roman" w:cs="Times New Roman"/>
          <w:sz w:val="28"/>
          <w:szCs w:val="28"/>
        </w:rPr>
        <w:t xml:space="preserve"> предлагают разрешить рекламировать в печати и на телевидении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6F0A">
        <w:t xml:space="preserve"> 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проекта</w:t>
      </w:r>
      <w:r w:rsidRPr="00E86F0A">
        <w:rPr>
          <w:rFonts w:ascii="Times New Roman" w:hAnsi="Times New Roman" w:cs="Times New Roman"/>
          <w:sz w:val="28"/>
          <w:szCs w:val="28"/>
        </w:rPr>
        <w:t>, который прошел первое чтение, реклама может быть разрешена: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- в периодических печатных изданиях. При этом реклама не должна размещаться на первой и последней полосах (страницах), а также на обложке;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- на выставках пищевой продукции (кроме детского питания) и выставках организаций общепита;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- в теле- и радиопрограммах с 23 до 7 часов местного времени. Исключение: прямые трансляции или записи детско-юношеских спортивных соревнований.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Новые правила коснутся вина и игристого вина, произведенного: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- в странах ЕАЭС из винограда, выращенного на их территориях и в России;</w:t>
      </w:r>
    </w:p>
    <w:p w:rsidR="00E86F0A" w:rsidRPr="00E86F0A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t>- РФ из винограда, выращенного в ЕАЭС.</w:t>
      </w:r>
    </w:p>
    <w:p w:rsidR="002132CB" w:rsidRPr="0048531B" w:rsidRDefault="00E86F0A" w:rsidP="00E86F0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F0A">
        <w:rPr>
          <w:rFonts w:ascii="Times New Roman" w:hAnsi="Times New Roman" w:cs="Times New Roman"/>
          <w:sz w:val="28"/>
          <w:szCs w:val="28"/>
        </w:rPr>
        <w:lastRenderedPageBreak/>
        <w:t>Сейчас можно рекламировать эти напитки, если они сделаны в РФ из российского сырья. Реклама таких напитков останется разрешенной.</w:t>
      </w:r>
    </w:p>
    <w:p w:rsidR="00C734FD" w:rsidRPr="00056BF1" w:rsidRDefault="00C734FD" w:rsidP="0061356F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Напоминаем, что </w:t>
      </w:r>
      <w:r w:rsidR="003B1386" w:rsidRPr="0005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ст. 4.1.1 КоАП РФ являющимся субъектами малого и среднего предпринимательства лицам, осуществляющим предпринимательскую деятельность без образования юридического лица, и юридическим лицам, а также их работникам за впервые совершенное административное правонарушение, выявленное в ходе осуществления государственного контроля (надзора), муниципального контроля, в случаях, если назначение административного наказания в виде предупреждения не предусмотрено соответствующей статьей раздела II настоящего Кодекса или</w:t>
      </w:r>
      <w:proofErr w:type="gramEnd"/>
      <w:r w:rsidR="003B1386" w:rsidRPr="00056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субъекта Российской Федерации об административных правонарушениях, административное наказание в виде административного штрафа подлежит замене на предупреждение для следующих категорий лиц:</w:t>
      </w:r>
    </w:p>
    <w:p w:rsidR="00C734FD" w:rsidRPr="00056BF1" w:rsidRDefault="00C734FD" w:rsidP="003B138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F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лиц, осуществляющих предпринимательскую деятельность без образования юридического лица (ИП),</w:t>
      </w:r>
    </w:p>
    <w:p w:rsidR="00C734FD" w:rsidRPr="0061356F" w:rsidRDefault="00C734FD" w:rsidP="003B1386">
      <w:pPr>
        <w:spacing w:after="0" w:line="36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юридическим лицам, а также их работникам.</w:t>
      </w:r>
    </w:p>
    <w:p w:rsidR="00C734FD" w:rsidRPr="003B1386" w:rsidRDefault="003B1386" w:rsidP="003B1386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штраф заменяется предупреждением </w:t>
      </w:r>
      <w:r w:rsidR="00C734FD" w:rsidRPr="003B13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одновременном соблюдении следующих условий:</w:t>
      </w:r>
    </w:p>
    <w:p w:rsidR="00C734FD" w:rsidRPr="0061356F" w:rsidRDefault="00C734FD" w:rsidP="003B1386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совершено впервые;</w:t>
      </w:r>
    </w:p>
    <w:p w:rsidR="00C734FD" w:rsidRPr="0061356F" w:rsidRDefault="00C734FD" w:rsidP="003B1386">
      <w:pPr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причинен вред или отсутствует угроза его причинения:</w:t>
      </w:r>
    </w:p>
    <w:p w:rsidR="00C734FD" w:rsidRPr="0061356F" w:rsidRDefault="00C734FD" w:rsidP="00A146EF">
      <w:pPr>
        <w:numPr>
          <w:ilvl w:val="0"/>
          <w:numId w:val="8"/>
        </w:numPr>
        <w:spacing w:before="100" w:beforeAutospacing="1" w:after="15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здоровью людей,</w:t>
      </w:r>
    </w:p>
    <w:p w:rsidR="00C734FD" w:rsidRPr="0061356F" w:rsidRDefault="00C734FD" w:rsidP="00A146EF">
      <w:pPr>
        <w:numPr>
          <w:ilvl w:val="0"/>
          <w:numId w:val="8"/>
        </w:numPr>
        <w:spacing w:before="100" w:beforeAutospacing="1" w:after="15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животного и растительного мира,</w:t>
      </w:r>
    </w:p>
    <w:p w:rsidR="00C734FD" w:rsidRPr="0061356F" w:rsidRDefault="00C734FD" w:rsidP="00A146EF">
      <w:pPr>
        <w:numPr>
          <w:ilvl w:val="0"/>
          <w:numId w:val="8"/>
        </w:numPr>
        <w:spacing w:before="100" w:beforeAutospacing="1" w:after="15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среде, объектам культурного наследия</w:t>
      </w:r>
    </w:p>
    <w:p w:rsidR="00C734FD" w:rsidRPr="0061356F" w:rsidRDefault="00C734FD" w:rsidP="00A146EF">
      <w:pPr>
        <w:numPr>
          <w:ilvl w:val="0"/>
          <w:numId w:val="8"/>
        </w:numPr>
        <w:spacing w:before="100" w:beforeAutospacing="1" w:after="15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государства,</w:t>
      </w:r>
    </w:p>
    <w:p w:rsidR="00C734FD" w:rsidRPr="0061356F" w:rsidRDefault="00C734FD" w:rsidP="00A146EF">
      <w:pPr>
        <w:numPr>
          <w:ilvl w:val="0"/>
          <w:numId w:val="8"/>
        </w:numPr>
        <w:spacing w:before="100" w:beforeAutospacing="1" w:after="15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 чрезвычайных ситуаций природного и техногенного характера;</w:t>
      </w:r>
    </w:p>
    <w:p w:rsidR="00C734FD" w:rsidRPr="003B1386" w:rsidRDefault="00C734FD" w:rsidP="003B1386">
      <w:pPr>
        <w:spacing w:before="100" w:beforeAutospacing="1" w:after="100" w:afterAutospacing="1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56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Отсутствует имущественный ущерб.</w:t>
      </w:r>
    </w:p>
    <w:p w:rsidR="002132CB" w:rsidRPr="000A4585" w:rsidRDefault="00C734FD" w:rsidP="00A20760">
      <w:pPr>
        <w:pStyle w:val="Textbody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85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 8 месяцев возбуждено 21 </w:t>
      </w:r>
      <w:r w:rsidR="00ED0C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дел об административных правонарушениях</w:t>
      </w:r>
      <w:r w:rsidRPr="00485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из них 8 выдано предупреждение, 13 постановлений о наложении штрафа на сумму 796т.р., получено на 01.09.201</w:t>
      </w:r>
      <w:r w:rsidR="00F62A99" w:rsidRPr="00485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8 с учетом 2017года - 650 </w:t>
      </w:r>
      <w:proofErr w:type="spellStart"/>
      <w:r w:rsidR="00F62A99" w:rsidRPr="00485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т.р</w:t>
      </w:r>
      <w:proofErr w:type="spellEnd"/>
      <w:r w:rsidR="00F62A99" w:rsidRPr="00485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2132CB" w:rsidRPr="000A4585" w:rsidRDefault="000A4585" w:rsidP="00D1720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4585">
        <w:rPr>
          <w:rFonts w:ascii="Times New Roman" w:hAnsi="Times New Roman" w:cs="Times New Roman"/>
          <w:b/>
          <w:sz w:val="28"/>
          <w:szCs w:val="28"/>
        </w:rPr>
        <w:lastRenderedPageBreak/>
        <w:t>Контроль за</w:t>
      </w:r>
      <w:proofErr w:type="gramEnd"/>
      <w:r w:rsidRPr="000A4585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сфере закупок товаров, работ, услуг отдельными видами юридических лиц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A4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2018 года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Томского УФАС России является антимонопольный контроль </w:t>
      </w:r>
      <w:r w:rsidR="000A4585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Pr="0048531B">
        <w:rPr>
          <w:rFonts w:ascii="Times New Roman" w:hAnsi="Times New Roman" w:cs="Times New Roman"/>
          <w:sz w:val="28"/>
          <w:szCs w:val="28"/>
        </w:rPr>
        <w:t xml:space="preserve">закупок, осуществляемый в соответствии с Федеральным законом от 18.07.2011 № 223-ФЗ «О закупках товаров, работ, услуг отдельными видами юридических лиц» (Закон о закупках), </w:t>
      </w:r>
      <w:r w:rsidR="000A4585">
        <w:rPr>
          <w:rFonts w:ascii="Times New Roman" w:hAnsi="Times New Roman" w:cs="Times New Roman"/>
          <w:sz w:val="28"/>
          <w:szCs w:val="28"/>
        </w:rPr>
        <w:t>в том числе в порядке процедуры рассмотрения жалоб на действия заказчика, предусмотренной</w:t>
      </w:r>
      <w:r w:rsidRPr="0048531B">
        <w:rPr>
          <w:rFonts w:ascii="Times New Roman" w:hAnsi="Times New Roman" w:cs="Times New Roman"/>
          <w:sz w:val="28"/>
          <w:szCs w:val="28"/>
        </w:rPr>
        <w:t xml:space="preserve"> статьей 18.1 Федерального закона от 26.07.2006 № 135-ФЗ «О защите конкуренции». 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 Итоги осуществления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Томским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УФАС России контроля по соблюдению  требований Федерального закона от 18.07.2011 № 223-ФЗ «О закупках товаров, работ, услуг отдельными видами юридических лиц» за </w:t>
      </w:r>
      <w:r w:rsidR="00D1720B" w:rsidRPr="0048531B">
        <w:rPr>
          <w:rFonts w:ascii="Times New Roman" w:hAnsi="Times New Roman" w:cs="Times New Roman"/>
          <w:sz w:val="28"/>
          <w:szCs w:val="28"/>
        </w:rPr>
        <w:t>8</w:t>
      </w:r>
      <w:r w:rsidRPr="0048531B">
        <w:rPr>
          <w:rFonts w:ascii="Times New Roman" w:hAnsi="Times New Roman" w:cs="Times New Roman"/>
          <w:sz w:val="28"/>
          <w:szCs w:val="28"/>
        </w:rPr>
        <w:t xml:space="preserve"> месяцев 2018 года</w:t>
      </w:r>
      <w:r w:rsidR="00F62A99" w:rsidRPr="0048531B">
        <w:rPr>
          <w:rFonts w:ascii="Times New Roman" w:hAnsi="Times New Roman" w:cs="Times New Roman"/>
          <w:sz w:val="28"/>
          <w:szCs w:val="28"/>
        </w:rPr>
        <w:t xml:space="preserve"> отражены в таблице:</w:t>
      </w:r>
    </w:p>
    <w:tbl>
      <w:tblPr>
        <w:tblStyle w:val="11"/>
        <w:tblW w:w="9940" w:type="dxa"/>
        <w:jc w:val="center"/>
        <w:tblLook w:val="04A0" w:firstRow="1" w:lastRow="0" w:firstColumn="1" w:lastColumn="0" w:noHBand="0" w:noVBand="1"/>
      </w:tblPr>
      <w:tblGrid>
        <w:gridCol w:w="3838"/>
        <w:gridCol w:w="1950"/>
        <w:gridCol w:w="2059"/>
        <w:gridCol w:w="2093"/>
      </w:tblGrid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Основные статистические показатели</w:t>
            </w:r>
          </w:p>
        </w:tc>
        <w:tc>
          <w:tcPr>
            <w:tcW w:w="1950" w:type="dxa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8</w:t>
            </w:r>
            <w:r w:rsidR="002132CB" w:rsidRPr="0048531B">
              <w:rPr>
                <w:sz w:val="28"/>
                <w:szCs w:val="28"/>
              </w:rPr>
              <w:t xml:space="preserve"> мес. 2016</w:t>
            </w:r>
          </w:p>
        </w:tc>
        <w:tc>
          <w:tcPr>
            <w:tcW w:w="2059" w:type="dxa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8</w:t>
            </w:r>
            <w:r w:rsidR="002132CB" w:rsidRPr="0048531B">
              <w:rPr>
                <w:sz w:val="28"/>
                <w:szCs w:val="28"/>
              </w:rPr>
              <w:t xml:space="preserve"> мес. 2017 </w:t>
            </w:r>
          </w:p>
        </w:tc>
        <w:tc>
          <w:tcPr>
            <w:tcW w:w="2093" w:type="dxa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8</w:t>
            </w:r>
            <w:r w:rsidR="002132CB" w:rsidRPr="0048531B">
              <w:rPr>
                <w:sz w:val="28"/>
                <w:szCs w:val="28"/>
              </w:rPr>
              <w:t xml:space="preserve"> мес. 2018</w:t>
            </w:r>
          </w:p>
          <w:p w:rsidR="002132CB" w:rsidRPr="0048531B" w:rsidRDefault="00D1720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На 01</w:t>
            </w:r>
            <w:r w:rsidR="002132CB" w:rsidRPr="0048531B">
              <w:rPr>
                <w:sz w:val="28"/>
                <w:szCs w:val="28"/>
              </w:rPr>
              <w:t>.0</w:t>
            </w:r>
            <w:r w:rsidR="00C06279" w:rsidRPr="0048531B">
              <w:rPr>
                <w:sz w:val="28"/>
                <w:szCs w:val="28"/>
              </w:rPr>
              <w:t>9</w:t>
            </w:r>
            <w:r w:rsidR="002132CB" w:rsidRPr="0048531B">
              <w:rPr>
                <w:sz w:val="28"/>
                <w:szCs w:val="28"/>
              </w:rPr>
              <w:t>.2018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b/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t xml:space="preserve">Поступило жалоб, </w:t>
            </w:r>
            <w:r w:rsidRPr="0048531B">
              <w:rPr>
                <w:sz w:val="28"/>
                <w:szCs w:val="28"/>
              </w:rPr>
              <w:t>их них: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40</w:t>
            </w:r>
          </w:p>
        </w:tc>
        <w:tc>
          <w:tcPr>
            <w:tcW w:w="2059" w:type="dxa"/>
            <w:vAlign w:val="center"/>
          </w:tcPr>
          <w:p w:rsidR="002132CB" w:rsidRPr="00AD5C3F" w:rsidRDefault="002554E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554EB">
              <w:rPr>
                <w:sz w:val="28"/>
                <w:szCs w:val="28"/>
              </w:rPr>
              <w:t>68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50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возвращено заявителям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  <w:vAlign w:val="center"/>
          </w:tcPr>
          <w:p w:rsidR="002132CB" w:rsidRPr="00AD5C3F" w:rsidRDefault="002554E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554EB">
              <w:rPr>
                <w:sz w:val="28"/>
                <w:szCs w:val="28"/>
              </w:rPr>
              <w:t>24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16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отозвано заявителем до рассмотрения по существу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5</w:t>
            </w:r>
          </w:p>
        </w:tc>
        <w:tc>
          <w:tcPr>
            <w:tcW w:w="2059" w:type="dxa"/>
            <w:vAlign w:val="center"/>
          </w:tcPr>
          <w:p w:rsidR="002132CB" w:rsidRPr="00AD5C3F" w:rsidRDefault="00AB30EE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B30EE">
              <w:rPr>
                <w:sz w:val="28"/>
                <w:szCs w:val="28"/>
              </w:rPr>
              <w:t>7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рассмотрено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34</w:t>
            </w:r>
          </w:p>
        </w:tc>
        <w:tc>
          <w:tcPr>
            <w:tcW w:w="2059" w:type="dxa"/>
            <w:vAlign w:val="center"/>
          </w:tcPr>
          <w:p w:rsidR="002132CB" w:rsidRPr="00AD5C3F" w:rsidRDefault="006064A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6064AB">
              <w:rPr>
                <w:sz w:val="28"/>
                <w:szCs w:val="28"/>
              </w:rPr>
              <w:t>37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31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признано необоснованным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30</w:t>
            </w:r>
          </w:p>
        </w:tc>
        <w:tc>
          <w:tcPr>
            <w:tcW w:w="2059" w:type="dxa"/>
            <w:vAlign w:val="center"/>
          </w:tcPr>
          <w:p w:rsidR="002132CB" w:rsidRPr="00AD5C3F" w:rsidRDefault="002554E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554EB">
              <w:rPr>
                <w:sz w:val="28"/>
                <w:szCs w:val="28"/>
              </w:rPr>
              <w:t>3</w:t>
            </w:r>
            <w:r w:rsidR="002132CB" w:rsidRPr="002554EB">
              <w:rPr>
                <w:sz w:val="28"/>
                <w:szCs w:val="28"/>
              </w:rPr>
              <w:t>1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5" w:name="_GoBack"/>
            <w:bookmarkEnd w:id="5"/>
            <w:r w:rsidRPr="0048531B">
              <w:rPr>
                <w:sz w:val="28"/>
                <w:szCs w:val="28"/>
              </w:rPr>
              <w:t>29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 xml:space="preserve">признано обоснованным 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  <w:vAlign w:val="center"/>
          </w:tcPr>
          <w:p w:rsidR="002132CB" w:rsidRPr="00AD5C3F" w:rsidRDefault="002554E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2554EB">
              <w:rPr>
                <w:sz w:val="28"/>
                <w:szCs w:val="28"/>
              </w:rPr>
              <w:t>6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2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8</w:t>
            </w:r>
          </w:p>
        </w:tc>
        <w:tc>
          <w:tcPr>
            <w:tcW w:w="2059" w:type="dxa"/>
            <w:vAlign w:val="center"/>
          </w:tcPr>
          <w:p w:rsidR="002132CB" w:rsidRPr="00AD5C3F" w:rsidRDefault="00AB30EE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B30EE">
              <w:rPr>
                <w:sz w:val="28"/>
                <w:szCs w:val="28"/>
              </w:rPr>
              <w:t>9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t>Рассмотрено РНП</w:t>
            </w:r>
            <w:r w:rsidRPr="0048531B">
              <w:rPr>
                <w:sz w:val="28"/>
                <w:szCs w:val="28"/>
              </w:rPr>
              <w:t>, из них: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5</w:t>
            </w:r>
          </w:p>
        </w:tc>
        <w:tc>
          <w:tcPr>
            <w:tcW w:w="2059" w:type="dxa"/>
            <w:vAlign w:val="center"/>
          </w:tcPr>
          <w:p w:rsidR="002132CB" w:rsidRPr="00AD5C3F" w:rsidRDefault="00AB30EE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2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включено в РНП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  <w:vAlign w:val="center"/>
          </w:tcPr>
          <w:p w:rsidR="002132CB" w:rsidRPr="00AB30EE" w:rsidRDefault="00AB30EE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0EE">
              <w:rPr>
                <w:sz w:val="28"/>
                <w:szCs w:val="28"/>
              </w:rPr>
              <w:t>3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1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Отказано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  <w:vAlign w:val="center"/>
          </w:tcPr>
          <w:p w:rsidR="002132CB" w:rsidRPr="00AB30EE" w:rsidRDefault="00AB30EE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B30EE">
              <w:rPr>
                <w:sz w:val="28"/>
                <w:szCs w:val="28"/>
              </w:rPr>
              <w:t>5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1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t>Возбуждено дел</w:t>
            </w:r>
            <w:r w:rsidRPr="0048531B">
              <w:rPr>
                <w:sz w:val="28"/>
                <w:szCs w:val="28"/>
              </w:rPr>
              <w:t xml:space="preserve"> об административных правонарушениях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6</w:t>
            </w:r>
          </w:p>
        </w:tc>
        <w:tc>
          <w:tcPr>
            <w:tcW w:w="2059" w:type="dxa"/>
            <w:vAlign w:val="center"/>
          </w:tcPr>
          <w:p w:rsidR="002132CB" w:rsidRPr="00AD5C3F" w:rsidRDefault="002132CB" w:rsidP="00D1720B">
            <w:pPr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AD5C3F">
              <w:rPr>
                <w:sz w:val="28"/>
                <w:szCs w:val="28"/>
              </w:rPr>
              <w:t>48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92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t xml:space="preserve">Сумма наложенных </w:t>
            </w:r>
            <w:r w:rsidRPr="0048531B">
              <w:rPr>
                <w:b/>
                <w:sz w:val="28"/>
                <w:szCs w:val="28"/>
              </w:rPr>
              <w:lastRenderedPageBreak/>
              <w:t xml:space="preserve">штрафных санкций </w:t>
            </w:r>
            <w:r w:rsidRPr="0048531B">
              <w:rPr>
                <w:sz w:val="28"/>
                <w:szCs w:val="28"/>
              </w:rPr>
              <w:t>за нарушение порядка осуществления закупки товаров, работ, услуг отдельными видами юридических лиц руб.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lastRenderedPageBreak/>
              <w:t>42 000</w:t>
            </w:r>
          </w:p>
        </w:tc>
        <w:tc>
          <w:tcPr>
            <w:tcW w:w="2059" w:type="dxa"/>
            <w:vAlign w:val="center"/>
          </w:tcPr>
          <w:p w:rsidR="002132CB" w:rsidRPr="00AD5C3F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D5C3F">
              <w:rPr>
                <w:sz w:val="28"/>
                <w:szCs w:val="28"/>
              </w:rPr>
              <w:t>518 000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532 000</w:t>
            </w:r>
          </w:p>
        </w:tc>
      </w:tr>
      <w:tr w:rsidR="002132CB" w:rsidRPr="0048531B" w:rsidTr="00A50158">
        <w:trPr>
          <w:jc w:val="center"/>
        </w:trPr>
        <w:tc>
          <w:tcPr>
            <w:tcW w:w="3838" w:type="dxa"/>
          </w:tcPr>
          <w:p w:rsidR="002132CB" w:rsidRPr="0048531B" w:rsidRDefault="002132CB" w:rsidP="00D1720B">
            <w:pPr>
              <w:spacing w:line="360" w:lineRule="auto"/>
              <w:rPr>
                <w:b/>
                <w:sz w:val="28"/>
                <w:szCs w:val="28"/>
              </w:rPr>
            </w:pPr>
            <w:r w:rsidRPr="0048531B">
              <w:rPr>
                <w:b/>
                <w:sz w:val="28"/>
                <w:szCs w:val="28"/>
              </w:rPr>
              <w:lastRenderedPageBreak/>
              <w:t xml:space="preserve">Сумма уплаченных штрафных санкций </w:t>
            </w:r>
            <w:r w:rsidRPr="0048531B">
              <w:rPr>
                <w:sz w:val="28"/>
                <w:szCs w:val="28"/>
              </w:rPr>
              <w:t>за нарушение порядка осуществления закупки товаров, работ, услуг отдельными видами юридических лиц руб.</w:t>
            </w:r>
          </w:p>
        </w:tc>
        <w:tc>
          <w:tcPr>
            <w:tcW w:w="1950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42 000</w:t>
            </w:r>
          </w:p>
        </w:tc>
        <w:tc>
          <w:tcPr>
            <w:tcW w:w="2059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450 000</w:t>
            </w:r>
          </w:p>
        </w:tc>
        <w:tc>
          <w:tcPr>
            <w:tcW w:w="2093" w:type="dxa"/>
            <w:vAlign w:val="center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8531B">
              <w:rPr>
                <w:sz w:val="28"/>
                <w:szCs w:val="28"/>
              </w:rPr>
              <w:t>267 000</w:t>
            </w:r>
          </w:p>
        </w:tc>
      </w:tr>
    </w:tbl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 начала 2018 года Закон № 223-ФЗ претерпел значительные изменения. Между тем, большая часть изменений Закона № 223-ФЗ вступила в силу именно с 1 июля 2018 года.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При этом в части 3 статьи 4 Федерального закона от 31.12.2017 № 505-ФЗ «О внесении изменений в отдельные законодательные акты Российской Федерации» определено, что Положения о закупке должны быть приведены в соответствие с требованиями Федерального закона от 18 июля 2011 года № 223-ФЗ «О закупках товаров, работ, услуг отдельными видами юридических лиц» (в редакции настоящего Федерального закона), утверждены и размещены в единой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информационной системе не позднее 1 января 2019 года. Положения о закупке, которые не соответствуют Закону № 223-ФЗ (в редакции настоящего Федерального закона), после 1 января 2019 года считаются не размещенными в единой информационной системе. Закупки,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об осуществлении которых были размещены в единой информационной системе до даты размещения положения о закупке, приведенного в соответствие с требованиями Закона № 223-ФЗ (в редакции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настоящего Федерального закона), завершаются по правилам, которые действовали на дату размещения такого извещения.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Таким образом,</w:t>
      </w:r>
      <w:r w:rsidR="00C06279" w:rsidRPr="0048531B">
        <w:rPr>
          <w:rFonts w:ascii="Times New Roman" w:hAnsi="Times New Roman" w:cs="Times New Roman"/>
          <w:sz w:val="28"/>
          <w:szCs w:val="28"/>
        </w:rPr>
        <w:t xml:space="preserve"> </w:t>
      </w:r>
      <w:r w:rsidRPr="0048531B">
        <w:rPr>
          <w:rFonts w:ascii="Times New Roman" w:hAnsi="Times New Roman" w:cs="Times New Roman"/>
          <w:sz w:val="28"/>
          <w:szCs w:val="28"/>
        </w:rPr>
        <w:t xml:space="preserve"> до 1 января 2019 года заказчики обязаны привести Положения о закупке в соответствие с установленными Законом № 223-ФЗ требованиями. 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 связи с повышением активности обращений организаций по вопросам применения Закона № 223-ФЗ Минфин России и ФАС России сообщили позицию о приведении положения о закупке, предусмотренного Законом № 223-ФЗ, в соответствие с Законом № 505-ФЗ.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Из указанных пояснений следует, что заказчик с 1 июля 2018 года и по 1 января 2019 года вправе осуществлять закупки по правилам, установленным в положении о закупке в редакции, действующей до приведения его в соответствие с Законом № 223-ФЗ в редакции Закона № 505-ФЗ.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С 1 июля 2018 года внесены изменения в часть 2 статьи 2 Закона № 223-ФЗ, а именно установлено требование к содержанию Положения о закупке (Положение о закупке должно содержать порядок подготовки и осуществления закупок конкурентных (конкурса, аукциона, запроса котировок, запроса предложений) и неконкурентных закупок (закупок у единственного поставщика (исполнителя, подрядчика), а также иных закупок,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осуществления которых не соответствуют условиям части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3 статьи 3 Закона № 223-ФЗ).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Часть 2 статьи 3 Закона № 223-ФЗ изложена в новой редакции (Законом закреплено требование о необходимости установления в Положении о закупке конкурентных и неконкурентных закупок, порядка осуществления таких закупок, при этом  конкурентные закупки, участниками которых могут быть только субъекты малого и среднего предпринимательства, осуществляются в электронной форме.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Конкурентные закупки в иных случаях осуществляются в электронной форме, если иное не предусмотрено положением о закупке).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 части 3 статьи Закона № 223-ФЗ законодателем определены признаки, указывающие на то, что закупка является конкурентной (при этом указанные условия должны выполняться одновременно):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>1) информация о конкурентной закупке сообщается заказчиком одним из следующих способов: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а) путем размещения в единой информационной системе извещения об осуществлении конкурентной закупки, доступного неограниченному кругу лиц, с приложением документации о конкурентной закупке;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б) посредством направления приглашений принять участие в закрытой конкурентной закупке в случаях, которые предусмотрены статьей 3.5 настоящего Федерального закона, с приложением документации о конкурентной закупке не менее чем двум лицам, которые способны осуществить поставки товаров, выполнение работ, оказание услуг, являющихся предметом такой закупки;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2) обеспечивается конкуренция между участниками конкурентной закупки за право заключить договор с заказчиком на условиях, предлагаемых в заявках на участие в такой закупке, окончательных предложениях участников такой закупки;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3) описание предмета конкурентной закупки осуществляется с соблюдением требований к описанию в документации о конкурентной закупке предмета закупки (часть 6.1 статьи 3 Закона № 223-ФЗ).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Претерпела изменения и часть 5.1 статьи 3 Закона № 223-ФЗ, касающаяся порядка заключения договора: теперь договоры на поставку товаров, выполнение работ, оказание услуг заключаются заказчиком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>по результатам закупок</w:t>
      </w:r>
      <w:r w:rsidRPr="0048531B">
        <w:rPr>
          <w:rFonts w:ascii="Times New Roman" w:hAnsi="Times New Roman" w:cs="Times New Roman"/>
          <w:sz w:val="28"/>
          <w:szCs w:val="28"/>
        </w:rPr>
        <w:t xml:space="preserve">,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>осуществляемых в соответствии с планом закупки</w:t>
      </w:r>
      <w:r w:rsidRPr="0048531B">
        <w:rPr>
          <w:rFonts w:ascii="Times New Roman" w:hAnsi="Times New Roman" w:cs="Times New Roman"/>
          <w:sz w:val="28"/>
          <w:szCs w:val="28"/>
        </w:rPr>
        <w:t>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Согласно части 6 статьи 3 Закона № 223-ФЗ заказчик определяет требования к участникам закупки в документации о конкурентной закупке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>в соответствии с положением о закупке</w:t>
      </w:r>
      <w:r w:rsidRPr="0048531B">
        <w:rPr>
          <w:rFonts w:ascii="Times New Roman" w:hAnsi="Times New Roman" w:cs="Times New Roman"/>
          <w:sz w:val="28"/>
          <w:szCs w:val="28"/>
        </w:rPr>
        <w:t>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Статья 3 Закона № 223-ФЗ дополнена частью 6.1, устанавливающей правила описания предмета закупки в документации о конкурентной закупке: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 1) в описании предмета закупки указываются 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2) в описание предмета закупки не должны включаться требования или указания в отношении товарных знаков, знаков обслуживания, фирменных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наименований, патентов, полезных моделей, промышленных образцов, наименование страны происхождения товара, требования к товарам, информации, работам, услугам при условии, что такие требования влекут за собой необоснованное ограничение количества участников закупки, за исключением случаев, если не имеется другого способа, обеспечивающего более точное и четкое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описание указанных характеристик предмета закупки;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3) в случае использования в описании предмета закупки указания на товарный знак необходимо использовать слова «(или эквивалент)», за исключением случаев: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а)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б)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в) закупок товаров, необходимых для исполнения государственного или муниципального контракта;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г) закупок с указанием конкретных товарных знаков, знаков обслуживания, патентов, полезных моделей, промышленных образцов, места происхождения товара, изготовителя товара, если это предусмотрено условиями международных договоров Российской Федерации или условиями договоров юридических лиц, указанных в части 2 статьи 1 настоящего Федерального закона, в целях исполнения этими юридическими лицами обязательств по заключенным договорам с юридическими лицами, в том числе иностранными юридическими лицами.     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Между тем, изменились и требования к содержанию извещения о проведении конкурентной закупки (ч. 9 ст. 4), теперь в извещении  должен быть указан не только предмет договора с указанием количества поставляемого товара, объема выполняемой работы, оказываемой услуги, а также краткое описание предмета закупки в соответствии с частью 6.1 статьи 3 Закона № 223-ФЗ (при необходимости), сведения о начальной (максимальной) цене договора (цена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лота), либо формула цены, устанавливающая правила расчета сумм, подлежащих уплате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договора; порядок, дата начала, дата и время окончания срока подачи заявок на участие в закупке (этапах конкурентной закупки) и порядок подведения итогов конкурентной закупки (этапов конкурентной закупки) и адрес электронной площадки в информационно-телекоммуникационной сети «Интернет» (при осуществлении конкурентной закупки).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Часть 8 статьи 3 Закона № 223-ФЗ дополнена пунктом 4, согласно которому           Правительство Российской Федерации вправе установить особенности осуществления закупок товаров, работ, услуг, включенных в перечни и (или) группы товаров, работ, услуг,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о закупке которых не составляют государственную тайну, но не подлежат размещению в единой информационной системе, к таким сведениям относится следующее:       </w:t>
      </w:r>
    </w:p>
    <w:p w:rsidR="002132CB" w:rsidRPr="0048531B" w:rsidRDefault="002132CB" w:rsidP="00A20760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особенности их осуществления в электронной форме;</w:t>
      </w:r>
    </w:p>
    <w:p w:rsidR="002132CB" w:rsidRPr="0048531B" w:rsidRDefault="002132CB" w:rsidP="00A20760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особенности  документооборота  в  форме  электронных  документов, требования  к  форматам  и видам средств электронной подписи, применяемым при таком документообороте;</w:t>
      </w:r>
    </w:p>
    <w:p w:rsidR="002132CB" w:rsidRPr="0048531B" w:rsidRDefault="002132CB" w:rsidP="00A20760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порядок  предоставления и возврата обеспечения заявки на участие в закупке,   а  также  порядок  и  случаи  блокирования  денежных  средств, внесенных  участниками  закупки  в  целях обеспечения заявок на участие в закупке;</w:t>
      </w:r>
    </w:p>
    <w:p w:rsidR="002132CB" w:rsidRPr="0048531B" w:rsidRDefault="002132CB" w:rsidP="00A20760">
      <w:pPr>
        <w:pStyle w:val="ab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перечень  операторов электронных площадок для проведения закупок и обеспечения  документооборота  в  форме  электронных  документов, а также единые   требования   к  электронных  площадкам,  их  функционированию  и операторам таких электронных площадок.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Изменения, коснувшиеся части 8.1 статьи 3 Закона № 223-ФЗ, определили правила, которыми руководствуются заказчики в случае невыполнения требований к закупке у субъектов малого и среднего предпринимательства, в таком случае заказчики руководствуются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в части: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>1) обоснования начальной (максимальной) цены контракта, цены контракта, заключаемого с единственным поставщиком (исполнителем, подрядчиком);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2) выбора способа определения поставщика (исполнителя, подрядчика);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3) осуществления закупок у субъектов малого предпринимательства, социально ориентированных некоммерческих организаций в соответствии с частями 1 - 3, 5 - 8 статьи 30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нужд". При этом для целей настоящей части под совокупным годовым объемом закупок заказчика понимается совокупный объем цен договоров, заключенных заказчиком с 1 февраля до окончания календарного года;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4) применения требований к участникам закупок;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5) оценки заявок, окончательных предложений участников закупок;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6) создания и функционирования комиссии по осуществлению закупок;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7) определения поставщика (исполнителя, подрядчика) в соответствии с параграфами 2 - 5 главы 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 При этом заказчики: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а) направляют в федеральный орган исполнительной власти, уполномоченный на осуществление контроля в сфере закупок и осуществляющий ведение реестра недобросовестных поставщиков (исполнителей, подрядчиков), сведения об участниках закупок, уклонившихся от заключения договоров, а также о поставщиках (исполнителях, подрядчиках), с которыми договоры расторгнуты по решению суда в связи с существенным нарушением ими условий договоров в соответствии с настоящим Федеральным законом;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б) не проводят согласование применения закрытого конкурса, закрытого конкурса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такого согласования;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8) осуществления закупки у единственного поставщика (исполнителя, подрядчика) в случаях, предусмотренных частью 1 статьи 93 Федерального закона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от 5 апреля 2013 года N 44-ФЗ "О контрактной системе в сфере закупок товаров, работ, услуг для обеспечения государственных и муниципальных нужд". При этом заказчики: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а) не проводят согласование с контрольным органом в сфере закупок заключения контракта с единственным поставщиком (исполнителем, подрядчиком) в случае признания открытого конкурса, конкурса с ограниченным участием, двухэтапного конкурса, повторного конкурса или запроса предложений несостоявшимся;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б) не направляют в контрольный орган в сфере закупок уведомление об осуществлении закупки у единственного поставщика (исполнителя, подрядчика).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Согласно вступившим с 1 июля 2018 года изменениям часть 10 статьи 3 Закона № 223-ФЗ дополнена пунктом 2.1, согласно которому законодателем устанавливается право участника закупки на обжалование действий  оператора электронной площадки.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Кроме того, Закон № 223-ФЗ дополнен статьями 3.2-3.6, регламентирующими порядок осуществления конкурентной закупки.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 статье 3.2 Закона № 223-ФЗ установлен порядок разъяснений положений документации о конкурентной закупке: в течение трех рабочих дней с даты поступления запроса заказчик готовит ответ на запрос и размещает его в ЕИС без указания участника закупки, направившего такой запрос. При этом заказчик вправе не отвечать на запрос в случае, если он поступил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чем за три рабочих дня до окончания срока подачи заявок.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Кроме того, заказчик вправе отменить конкурентную закупку до наступления даты и времени окончания срока подачи заявок на участие в конкурентной закупке, решение размещается в ЕИС в день его принятия, в случае истечения срока отмены конкурентной закупки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ГК РФ.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Вместе с тем, в соответствии с вступившими 01.07.2018 в силу имениями в Законе № 223-ФЗ установлены требования к содержанию протоколов (часть 13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статьи 3.2), а также к сроку хранения  протоколов, заявок на участие в конкурентной закупке, предложений участников, документации, извещений, изменений, вносимых в документацию, разъяснений положений документации (не менее трех лет). 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В соответствии с частью 15 статьи 3.2 Закона № 223-ФЗ 15. договор по результатам конкурентной закупки заключается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>не ранее чем через десять дней и не позднее чем через двадцать дней</w:t>
      </w:r>
      <w:r w:rsidRPr="0048531B">
        <w:rPr>
          <w:rFonts w:ascii="Times New Roman" w:hAnsi="Times New Roman" w:cs="Times New Roman"/>
          <w:sz w:val="28"/>
          <w:szCs w:val="28"/>
        </w:rPr>
        <w:t xml:space="preserve"> с даты размещения в единой информационной системе итогового протокола, составленного по результатам конкурентной закупки.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(бездействия) заказчика, комиссии по осуществлению конкурентной закупки,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(бездействия) заказчика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>, комиссии по осуществлению конкурентной закупки, оператора электронной площадки.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Кроме того, теперь заказчик не вправе установить в документации о конкурентной закупке требование обеспечения заявок на участие в закупке, если начальная (максимальная) цена договора не превышает пять миллионов рублей. В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>, если начальная (максимальная) цена договора превышает пять миллионов рублей, заказчик вправе установить в документации о закупке требование к обеспечению в размере не более пяти процентов начальной (максимальной) цены договора (ч. 27 ст. 3.2).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Особенности осуществления конкурентной закупки в электронной форме определены в статье 3.3 Закона № 223-ФЗ.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Так же в новой версии Закона № 223-ФЗ уделено внимание и закупкам, осуществляемым у единственного поставщика. Согласно ст.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положением о закупке. При этом в соответствии с частью 5 статьи 4 Закона № 223-ФЗ при закупке у единственного поставщика (исполнителя,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подрядчика) информация о такой закупке, предусмотренная настоящей частью, может быть размещена заказчиком в единой информационной системе в случае, если это предусмотрено положением о закупке.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Немаловажным для участников закупки является и дополнение в Законе № 223-ФЗ, касающееся срока продления подачи заявок при внесении изменений в извещение или документацию.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Срок подачи заявок должен быть продлен таким образом,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закупке, установленного положением о закупке для данного способа закупки (ч. 11 ст. 4).</w:t>
      </w:r>
      <w:proofErr w:type="gramEnd"/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При этом в части 19 статьи 4 Закона № 223-ФЗ законодателем сокращен перечень сведений, размещаемых заказчиком не позднее 10-го числа месяца, следующего за отчетным месяцем, в указанный Законом срок необходимо размещать три вида отчетности вместо четырех: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 1) сведения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2) 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3) 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Детализированы и требования законодателя относительно информации, размещаемой в ЕИС по результат заключения договора, а именно в части 2 статьи 4.1 Закона № 223-ФЗ установлено, что информация вносится в реестр договоров в ЕИС в течение трех рабочих дней со дня заключения договора,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 xml:space="preserve">в том числе договора, заключенного заказчиком по результатам закупки у единственного поставщика (исполнителя, подрядчика) товаров, работ, услуг, стоимость которых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превышает</w:t>
      </w:r>
      <w:proofErr w:type="gramEnd"/>
      <w:r w:rsidRPr="0048531B">
        <w:rPr>
          <w:rFonts w:ascii="Times New Roman" w:hAnsi="Times New Roman" w:cs="Times New Roman"/>
          <w:sz w:val="28"/>
          <w:szCs w:val="28"/>
          <w:u w:val="single"/>
        </w:rPr>
        <w:t xml:space="preserve"> размеры, установленные частью 15 статьи 4 настоящего Федерального закона</w:t>
      </w:r>
      <w:r w:rsidRPr="0048531B">
        <w:rPr>
          <w:rFonts w:ascii="Times New Roman" w:hAnsi="Times New Roman" w:cs="Times New Roman"/>
          <w:sz w:val="28"/>
          <w:szCs w:val="28"/>
        </w:rPr>
        <w:t>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Вместе с тем, необходимо отметить, что с 1 июля 2018 года у заказчиков появилось право размещать не все сведения о закупке в соответствии с закрытым перечнем, установленным в части 15 статьи 4 Закона № 223-ФЗ, в который вошли следующие сведения: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1) о закупке товаров, работ, услуг, стоимость которых не превышает сто тысяч рублей. В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>, если годовая выручка заказчика за отчетный финансовый год составляет более чем пять миллиардов рублей, заказчик вправе не размещать в единой информационной системе сведения о закупке товаров, работ, услуг, стоимость которых не превышает пятьсот тысяч рублей;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2) о закупке услуг по привлечению во вклады (включая размещение депозитных вкладов) денежных средств организаций, получению кредитов и займов, доверительному управлению денежными средствами и иным имуществом, выдаче банковских гарантий и поручительств, предусматривающих исполнение обязательств в денежной форме, открытию и ведению счетов, включая аккредитивы, о закупке брокерских услуг, услуг депозитариев;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3) о закупке, связанной с заключением и исполнением договора купли-продажи, аренды (субаренды), договора доверительного управления государственным или муниципальным имуществом, иного договора, предусматривающего переход прав владения и (или) пользования в отношении недвижимого имущества.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3 июля 2018 года часть 4 статьи 1 дополнена пунктом 15, согласно которому Закон № 223-ФЗ не регулирует отношения, связанные с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сервитут, устанавливаемый в соответствии с земельным законодательством.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Данные изменения вступят в силу уже с 1 сентября 2018 года.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>4 августа 2018 года в силу вступили изменения в Федеральный закон от 18.07.2011 № 223-ФЗ «О закупках товаров, работ, услуг отдельными видами юридических лиц» о дополнении нормативного акта статьями 3.1-2 и 3.1-3.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Так в статье 3.1-2 определен порядок осуществления закупок в целях создания произведения архитектуры, градостроительства или садово-паркового искусства и (или) разработки на его основе проектной документации объектов капитального строительства.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В новой редакции закона установлены требования к содержанию договора (норма об исключительном праве заказчика на использование произведения архитектуры и многократное использование проектной документации без согласия автора произведения архитектуры, градостроительства или садово-паркового искусства) и способу закупки (автор произведения архитектуры, градостроительства или садово-паркового искусства не вправе требовать от заказчика проектной документации предоставления ему права заключать договор на разработку такой проектной документации без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использования конкурентных способов определения поставщиков (подрядчиков, исполнителей).</w:t>
      </w:r>
    </w:p>
    <w:p w:rsidR="002132CB" w:rsidRPr="0048531B" w:rsidRDefault="002132CB" w:rsidP="00A207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 статье 3.1-3 определены особенности заключения и исполнения договора, предметом которого является выполнение проектных и (или) изыскательских работ (договор должен содержать условие, согласно которому с даты приемки результатов выполнения проектных и (или) изыскательских работ исключительные права на результаты выполненных данных работ заказчику).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31B">
        <w:rPr>
          <w:rFonts w:ascii="Times New Roman" w:hAnsi="Times New Roman" w:cs="Times New Roman"/>
          <w:b/>
          <w:sz w:val="28"/>
          <w:szCs w:val="28"/>
        </w:rPr>
        <w:t>Типичные нарушения требований Федерального закона от 18.07.2011 № 223-ФЗ «О закупках товаров, работ, услуг отдельными видами юридических лиц»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Статьей 7.32.3 Кодекса РФ об административных правонарушениях предусмотрена административная ответственность за совершение нарушений законодательства о закупках товаров (работ, услуг) отдельными видами юридических лиц (Закона № 223-ФЗ).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Основным видом административного наказания, применяемого при совершении данных нарушений, является штраф.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в рамках исполнения функции по контролю за соблюдением законодательства в сфере закупок товаров, работ, услуг отдельными видами юридических лиц </w:t>
      </w:r>
      <w:r w:rsidRPr="0048531B">
        <w:rPr>
          <w:rFonts w:ascii="Times New Roman" w:hAnsi="Times New Roman" w:cs="Times New Roman"/>
          <w:sz w:val="28"/>
          <w:szCs w:val="28"/>
          <w:u w:val="single"/>
        </w:rPr>
        <w:t>в 2017 году</w:t>
      </w:r>
      <w:r w:rsidRPr="0048531B">
        <w:rPr>
          <w:rFonts w:ascii="Times New Roman" w:hAnsi="Times New Roman" w:cs="Times New Roman"/>
          <w:sz w:val="28"/>
          <w:szCs w:val="28"/>
        </w:rPr>
        <w:t xml:space="preserve"> Томским УФАС России возбуждено и рассмотрено 54 дела об административных правонарушениях по статье 7.32.3 Кодекса Российской Федерации об административных правонарушениях за нарушение порядка осуществления закупки товаров, работ, услуг, из них 12 дел возбуждено в отношении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должностных лиц, 42 дела – в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юридических лиц, наложено штрафов на сумму 532 000 рублей. При этом 37 дел рассмотрено на основании материалов, направленных Прокуратурой. Кроме того, управлением выдано 15 представлений об устранении причин и условий, способствовавших совершению административных правонарушений. Как показывает практика, наиболее частыми являются нарушения сроков размещения в единой информационной системе в сфере закупок информации о закупке товаров, работ, услуг, в том числе сведений, вносимых в реестр договоров, заключенных заказчиками по результатам закупки, сведений о количестве и об общей стоимости договоров, предусмотренные частью 4 статьи 7.32.3 КоАП РФ.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За </w:t>
      </w:r>
      <w:r w:rsidR="00D1720B" w:rsidRPr="0048531B">
        <w:rPr>
          <w:rFonts w:ascii="Times New Roman" w:hAnsi="Times New Roman" w:cs="Times New Roman"/>
          <w:sz w:val="28"/>
          <w:szCs w:val="28"/>
        </w:rPr>
        <w:t>8</w:t>
      </w:r>
      <w:r w:rsidRPr="0048531B">
        <w:rPr>
          <w:rFonts w:ascii="Times New Roman" w:hAnsi="Times New Roman" w:cs="Times New Roman"/>
          <w:sz w:val="28"/>
          <w:szCs w:val="28"/>
        </w:rPr>
        <w:t xml:space="preserve"> месяцев 2017 года Томским УФАС России возбуждено 48 дел об административных правонарушениях, их них 44 дела квалифицируемых по части 4 статьи 7.32.3, 2 дела – по ч. 5 ст. 7.32.3 КоАП РФ, 1 дело – по ч. 6 ст. 7.32.3 КоАП РФ и 1 дело – по ч. 3 ст. 7.32.3 КоАП РФ.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За </w:t>
      </w:r>
      <w:r w:rsidR="00C06279" w:rsidRPr="0048531B">
        <w:rPr>
          <w:rFonts w:ascii="Times New Roman" w:hAnsi="Times New Roman" w:cs="Times New Roman"/>
          <w:sz w:val="28"/>
          <w:szCs w:val="28"/>
        </w:rPr>
        <w:t>9</w:t>
      </w:r>
      <w:r w:rsidRPr="0048531B">
        <w:rPr>
          <w:rFonts w:ascii="Times New Roman" w:hAnsi="Times New Roman" w:cs="Times New Roman"/>
          <w:sz w:val="28"/>
          <w:szCs w:val="28"/>
        </w:rPr>
        <w:t xml:space="preserve"> месяцев 2016года возбуждено только 6 дел на 42 тысячи рублей.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За </w:t>
      </w:r>
      <w:r w:rsidR="00D1720B" w:rsidRPr="0048531B">
        <w:rPr>
          <w:rFonts w:ascii="Times New Roman" w:hAnsi="Times New Roman" w:cs="Times New Roman"/>
          <w:sz w:val="28"/>
          <w:szCs w:val="28"/>
        </w:rPr>
        <w:t>8</w:t>
      </w:r>
      <w:r w:rsidRPr="0048531B">
        <w:rPr>
          <w:rFonts w:ascii="Times New Roman" w:hAnsi="Times New Roman" w:cs="Times New Roman"/>
          <w:sz w:val="28"/>
          <w:szCs w:val="28"/>
        </w:rPr>
        <w:t xml:space="preserve"> месяцев 2018 года возбуждено 92 дела о нарушении Закона № 223-ФЗ и наложено штрафов по статье 7.32.3 КоАП РФ  на общую сумму 532 000 рублей, из них оплачено 267 000 рублей.</w:t>
      </w:r>
    </w:p>
    <w:tbl>
      <w:tblPr>
        <w:tblStyle w:val="11"/>
        <w:tblW w:w="10218" w:type="dxa"/>
        <w:jc w:val="center"/>
        <w:tblInd w:w="-186" w:type="dxa"/>
        <w:tblLook w:val="04A0" w:firstRow="1" w:lastRow="0" w:firstColumn="1" w:lastColumn="0" w:noHBand="0" w:noVBand="1"/>
      </w:tblPr>
      <w:tblGrid>
        <w:gridCol w:w="294"/>
        <w:gridCol w:w="3682"/>
        <w:gridCol w:w="287"/>
        <w:gridCol w:w="1698"/>
        <w:gridCol w:w="287"/>
        <w:gridCol w:w="1697"/>
        <w:gridCol w:w="287"/>
        <w:gridCol w:w="1699"/>
        <w:gridCol w:w="287"/>
      </w:tblGrid>
      <w:tr w:rsidR="002132CB" w:rsidRPr="0048531B" w:rsidTr="00A50158">
        <w:trPr>
          <w:gridAfter w:val="1"/>
          <w:wAfter w:w="287" w:type="dxa"/>
          <w:jc w:val="center"/>
        </w:trPr>
        <w:tc>
          <w:tcPr>
            <w:tcW w:w="3976" w:type="dxa"/>
            <w:gridSpan w:val="2"/>
          </w:tcPr>
          <w:p w:rsidR="002132CB" w:rsidRPr="0048531B" w:rsidRDefault="002132CB" w:rsidP="00D1720B">
            <w:pPr>
              <w:spacing w:line="360" w:lineRule="auto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Основные статистические показатели</w:t>
            </w:r>
          </w:p>
        </w:tc>
        <w:tc>
          <w:tcPr>
            <w:tcW w:w="1985" w:type="dxa"/>
            <w:gridSpan w:val="2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8</w:t>
            </w:r>
            <w:r w:rsidR="002132CB" w:rsidRPr="0048531B">
              <w:rPr>
                <w:sz w:val="24"/>
                <w:szCs w:val="24"/>
              </w:rPr>
              <w:t xml:space="preserve"> мес. 2016</w:t>
            </w:r>
          </w:p>
        </w:tc>
        <w:tc>
          <w:tcPr>
            <w:tcW w:w="1984" w:type="dxa"/>
            <w:gridSpan w:val="2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8</w:t>
            </w:r>
            <w:r w:rsidR="002132CB" w:rsidRPr="0048531B">
              <w:rPr>
                <w:sz w:val="24"/>
                <w:szCs w:val="24"/>
              </w:rPr>
              <w:t xml:space="preserve"> мес. 2017 </w:t>
            </w:r>
          </w:p>
        </w:tc>
        <w:tc>
          <w:tcPr>
            <w:tcW w:w="1986" w:type="dxa"/>
            <w:gridSpan w:val="2"/>
          </w:tcPr>
          <w:p w:rsidR="002132CB" w:rsidRPr="0048531B" w:rsidRDefault="00D1720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8</w:t>
            </w:r>
            <w:r w:rsidR="002132CB" w:rsidRPr="0048531B">
              <w:rPr>
                <w:sz w:val="24"/>
                <w:szCs w:val="24"/>
              </w:rPr>
              <w:t xml:space="preserve"> мес. 2018</w:t>
            </w:r>
          </w:p>
          <w:p w:rsidR="002132CB" w:rsidRPr="0048531B" w:rsidRDefault="00D1720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На 01</w:t>
            </w:r>
            <w:r w:rsidR="002132CB" w:rsidRPr="0048531B">
              <w:rPr>
                <w:sz w:val="24"/>
                <w:szCs w:val="24"/>
              </w:rPr>
              <w:t>.0</w:t>
            </w:r>
            <w:r w:rsidR="00C06279" w:rsidRPr="0048531B">
              <w:rPr>
                <w:sz w:val="24"/>
                <w:szCs w:val="24"/>
              </w:rPr>
              <w:t>9</w:t>
            </w:r>
            <w:r w:rsidR="002132CB" w:rsidRPr="0048531B">
              <w:rPr>
                <w:sz w:val="24"/>
                <w:szCs w:val="24"/>
              </w:rPr>
              <w:t>.2018</w:t>
            </w:r>
          </w:p>
        </w:tc>
      </w:tr>
      <w:tr w:rsidR="002132CB" w:rsidRPr="0048531B" w:rsidTr="00A50158">
        <w:tblPrEx>
          <w:jc w:val="left"/>
        </w:tblPrEx>
        <w:trPr>
          <w:gridBefore w:val="1"/>
          <w:wBefore w:w="294" w:type="dxa"/>
        </w:trPr>
        <w:tc>
          <w:tcPr>
            <w:tcW w:w="3969" w:type="dxa"/>
            <w:gridSpan w:val="2"/>
          </w:tcPr>
          <w:p w:rsidR="002132CB" w:rsidRPr="0048531B" w:rsidRDefault="002132CB" w:rsidP="00D1720B">
            <w:pPr>
              <w:spacing w:line="360" w:lineRule="auto"/>
              <w:rPr>
                <w:sz w:val="24"/>
                <w:szCs w:val="24"/>
              </w:rPr>
            </w:pPr>
            <w:r w:rsidRPr="0048531B">
              <w:rPr>
                <w:b/>
                <w:sz w:val="24"/>
                <w:szCs w:val="24"/>
              </w:rPr>
              <w:t>Возбуждено дел</w:t>
            </w:r>
            <w:r w:rsidRPr="0048531B">
              <w:rPr>
                <w:sz w:val="24"/>
                <w:szCs w:val="24"/>
              </w:rPr>
              <w:t xml:space="preserve"> об административных правонарушениях</w:t>
            </w:r>
          </w:p>
        </w:tc>
        <w:tc>
          <w:tcPr>
            <w:tcW w:w="1985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48</w:t>
            </w:r>
          </w:p>
        </w:tc>
        <w:tc>
          <w:tcPr>
            <w:tcW w:w="1986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92</w:t>
            </w:r>
          </w:p>
        </w:tc>
      </w:tr>
      <w:tr w:rsidR="002132CB" w:rsidRPr="0048531B" w:rsidTr="00A50158">
        <w:tblPrEx>
          <w:jc w:val="left"/>
        </w:tblPrEx>
        <w:trPr>
          <w:gridBefore w:val="1"/>
          <w:wBefore w:w="294" w:type="dxa"/>
        </w:trPr>
        <w:tc>
          <w:tcPr>
            <w:tcW w:w="3969" w:type="dxa"/>
            <w:gridSpan w:val="2"/>
          </w:tcPr>
          <w:p w:rsidR="002132CB" w:rsidRPr="0048531B" w:rsidRDefault="002132CB" w:rsidP="00D1720B">
            <w:pPr>
              <w:spacing w:line="360" w:lineRule="auto"/>
              <w:rPr>
                <w:sz w:val="24"/>
                <w:szCs w:val="24"/>
              </w:rPr>
            </w:pPr>
            <w:r w:rsidRPr="0048531B">
              <w:rPr>
                <w:b/>
                <w:sz w:val="24"/>
                <w:szCs w:val="24"/>
              </w:rPr>
              <w:t xml:space="preserve">Сумма наложенных штрафных </w:t>
            </w:r>
            <w:r w:rsidRPr="0048531B">
              <w:rPr>
                <w:b/>
                <w:sz w:val="24"/>
                <w:szCs w:val="24"/>
              </w:rPr>
              <w:lastRenderedPageBreak/>
              <w:t xml:space="preserve">санкций </w:t>
            </w:r>
            <w:r w:rsidRPr="0048531B">
              <w:rPr>
                <w:sz w:val="24"/>
                <w:szCs w:val="24"/>
              </w:rPr>
              <w:t>за нарушение порядка осуществления закупки товаров, работ, услуг отдельными видами юридических лиц руб.</w:t>
            </w:r>
          </w:p>
        </w:tc>
        <w:tc>
          <w:tcPr>
            <w:tcW w:w="1985" w:type="dxa"/>
            <w:gridSpan w:val="2"/>
          </w:tcPr>
          <w:p w:rsidR="002132CB" w:rsidRPr="0048531B" w:rsidRDefault="002132CB" w:rsidP="00D1720B">
            <w:pPr>
              <w:spacing w:line="360" w:lineRule="auto"/>
              <w:ind w:left="-108" w:firstLine="108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lastRenderedPageBreak/>
              <w:t>42 000</w:t>
            </w:r>
          </w:p>
        </w:tc>
        <w:tc>
          <w:tcPr>
            <w:tcW w:w="1984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518 000</w:t>
            </w:r>
          </w:p>
        </w:tc>
        <w:tc>
          <w:tcPr>
            <w:tcW w:w="1986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532 000</w:t>
            </w:r>
          </w:p>
        </w:tc>
      </w:tr>
      <w:tr w:rsidR="002132CB" w:rsidRPr="0048531B" w:rsidTr="00A50158">
        <w:tblPrEx>
          <w:jc w:val="left"/>
        </w:tblPrEx>
        <w:trPr>
          <w:gridBefore w:val="1"/>
          <w:wBefore w:w="294" w:type="dxa"/>
        </w:trPr>
        <w:tc>
          <w:tcPr>
            <w:tcW w:w="3969" w:type="dxa"/>
            <w:gridSpan w:val="2"/>
          </w:tcPr>
          <w:p w:rsidR="002132CB" w:rsidRPr="0048531B" w:rsidRDefault="002132CB" w:rsidP="00D1720B">
            <w:pPr>
              <w:spacing w:line="360" w:lineRule="auto"/>
              <w:rPr>
                <w:b/>
                <w:sz w:val="24"/>
                <w:szCs w:val="24"/>
              </w:rPr>
            </w:pPr>
            <w:r w:rsidRPr="0048531B">
              <w:rPr>
                <w:b/>
                <w:sz w:val="24"/>
                <w:szCs w:val="24"/>
              </w:rPr>
              <w:lastRenderedPageBreak/>
              <w:t xml:space="preserve">Сумма уплаченных штрафных санкций </w:t>
            </w:r>
            <w:r w:rsidRPr="0048531B">
              <w:rPr>
                <w:sz w:val="24"/>
                <w:szCs w:val="24"/>
              </w:rPr>
              <w:t>за нарушение порядка осуществления закупки товаров, работ, услуг отдельными видами юридических лиц руб.</w:t>
            </w:r>
          </w:p>
        </w:tc>
        <w:tc>
          <w:tcPr>
            <w:tcW w:w="1985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42 000</w:t>
            </w:r>
          </w:p>
        </w:tc>
        <w:tc>
          <w:tcPr>
            <w:tcW w:w="1984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450 000</w:t>
            </w:r>
          </w:p>
        </w:tc>
        <w:tc>
          <w:tcPr>
            <w:tcW w:w="1986" w:type="dxa"/>
            <w:gridSpan w:val="2"/>
          </w:tcPr>
          <w:p w:rsidR="002132CB" w:rsidRPr="0048531B" w:rsidRDefault="002132CB" w:rsidP="00D1720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8531B">
              <w:rPr>
                <w:sz w:val="24"/>
                <w:szCs w:val="24"/>
              </w:rPr>
              <w:t>267 000</w:t>
            </w:r>
          </w:p>
        </w:tc>
      </w:tr>
    </w:tbl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Статьей 4 Федерального закона от 18.07.2011 № 223-ФЗ «О закупках товаров, работ, услуг отдельными видами юридических лиц» установлены сроки размещения: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- Положения о закупке и вносимых в него изменений (в течение 15 дней со дня утверждения);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- изменений, вносимых в извещение о закупке, документацию о закупке, разъяснений положений документации (не позднее чем в течение 3 дней со дня принятия решения о внесении изменений, предоставления разъяснений);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- протоколов, составляемых в ходе закупки (не позднее чем через 3 дня со дня подписания протоколов);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- сведений о количестве и об общей стоимости договоров, заключенных заказчиком по результатам закупки товаров, работ, услуг (не позднее 10-го числа месяца, следующего за отчетным месяцем);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- информации и документов, вносимых в реестр договоров (в течение трех рабочих дней со дня заключения договора);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- информации о результатах исполнения договора (в течение десяти дней со дня исполнения, изменения или расторжения договора). 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На данный момент функционал Единой информационной системы позволяет отслеживать нарушения сроков размещения в реестре договоров сведений о заключенных договорах, отображая данную информацию в журнале событий с пометкой «размещено с нарушением сроков».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>В рамках контрольно-надзорной деятельности антимонопольным органом выявлены нарушения, допускаемые заказчиками, в части несоблюдения требований ч. 4 ст. 18.1 Закона № 135-ФЗ «О защите конкуренции», а именно заключение договора ранее 10-дневного срока, предусмотренного на обжалование действий (бездействия) организатора торгов, оператора электронной площадки, конкурсной или аукционной комиссии. Поскольку установленный в Положении о закупке срок заключения договора по результатам закупки должен учитывать закрепленную в Законе № 223-ФЗ и Законе о защите конкуренции процедуру административного контроля со стороны антимонопольного органа.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Возможность заключения договора ранее установленного ч. 4 ст. 18.1 Закона о защите конкуренции срока обжалования действий заказчика, организатора торгов, что, в свою очередь, исключает применение оперативных мер, предусмотренных статьей 18.1 Закона о защите конкуренции, лишает обращение с жалобой какого-либо юридического смысла.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При этом текущие изменения Закона № 223-ФЗ учитывают требования Закона о защите конкуренции, в связи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чем  в Закон № 223-ФЗ введена часть 15 статьи 3.2, в которой установлено, что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протокола, составленного по результатам конкурентной закупки.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В 2018 году при рассмотрении жалоб на действия заказчиков также выявлены нарушения ч. 7 ст. 7.32.3 КоАП РФ при несоблюдении предусмотренных Законом № 223-ФЗ требований к содержанию документации, ч. 8 ст. 7.32.3 КоАП РФ при предъявлении требований к участникам закупок, к условиям договора либо оценке и (или) сопоставлению заявок на участие в закупке по критериям и в порядке, которые не указаны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в документации о закупке.</w:t>
      </w:r>
    </w:p>
    <w:p w:rsidR="002132CB" w:rsidRPr="0048531B" w:rsidRDefault="002132CB" w:rsidP="007D3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В 2018 году при рассмотрении жалоб на действия заказчика 2 были признаны обоснованными, нарушения порядка организации и проведения закуп</w:t>
      </w:r>
      <w:r w:rsidR="007D3A5F">
        <w:rPr>
          <w:rFonts w:ascii="Times New Roman" w:hAnsi="Times New Roman" w:cs="Times New Roman"/>
          <w:sz w:val="28"/>
          <w:szCs w:val="28"/>
        </w:rPr>
        <w:t xml:space="preserve">очной заключались в следующем. 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31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Пример </w:t>
      </w:r>
      <w:r w:rsidR="00D1720B" w:rsidRPr="0048531B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Pr="0048531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5 февраля 2018 года в Томское УФАС России поступила жалоба ИП Цыганкова А.С. на действия заказчика закупки ООО «Томскводоканал» при проведении запроса котировок «Текущий ремонт АБК по адресу г. Томск, пос. </w:t>
      </w:r>
      <w:proofErr w:type="spellStart"/>
      <w:r w:rsidRPr="0048531B">
        <w:rPr>
          <w:rFonts w:ascii="Times New Roman" w:hAnsi="Times New Roman" w:cs="Times New Roman"/>
          <w:sz w:val="28"/>
          <w:szCs w:val="28"/>
        </w:rPr>
        <w:t>Кайдаловка</w:t>
      </w:r>
      <w:proofErr w:type="spellEnd"/>
      <w:r w:rsidRPr="0048531B">
        <w:rPr>
          <w:rFonts w:ascii="Times New Roman" w:hAnsi="Times New Roman" w:cs="Times New Roman"/>
          <w:sz w:val="28"/>
          <w:szCs w:val="28"/>
        </w:rPr>
        <w:t xml:space="preserve"> 1в стр. 7. Замена окон (общестроительные работы)» (извещение в ЕИС №31806038371).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Заявитель в своей жалобе указал, что комиссия по закупкам ООО «Томскводоканал» по своему усмотрению пересчитала его ценовое предложение в сторону увеличения на размер НДС 18% со 160000руб. до 188800 рублей (протокол №5-18 от 31.01.2018 заседания комиссии), несмотря на то, что индивидуальный предприниматель применяет упрощенную систему налогообложения. Тем самым, необоснованно признала победителем участника, предложившего более высокую цену. Документация о закупке, а также Положение о закупке ООО «Томскводоканал» не содержит порядок сопоставления заявок по предложенной цене для определения победителя.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Вместе с тем, в соответствии с приложенной формой котировочной заявки участник указывает сумму в том числе НДС 18% или НДС не предусмотрен, при этом форма заявки содержит сведения, что цена договора включает в себя: затраты на работы, затраты на оборудование, материалы, доставку материалов и оборудования на объект, а также расходы по уплате налогов, сборов, таможенных пошлин, расходы на страхование и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иные платежи, а так же риски подрядчика, связанные с повышением цены при увеличении объемов работы, с учетом коэффициента снижения сметной стоимости.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Согласно протоколу рассмотрения и оценки заявок от 31.01.2018 №5-18 закупочная комиссия ООО «Томскводоканал» оценила ценовые предложения ИП Цыганкова А.С. и ООО «</w:t>
      </w:r>
      <w:proofErr w:type="spellStart"/>
      <w:r w:rsidRPr="0048531B">
        <w:rPr>
          <w:rFonts w:ascii="Times New Roman" w:hAnsi="Times New Roman" w:cs="Times New Roman"/>
          <w:sz w:val="28"/>
          <w:szCs w:val="28"/>
        </w:rPr>
        <w:t>ТомСтройгарант</w:t>
      </w:r>
      <w:proofErr w:type="spellEnd"/>
      <w:r w:rsidRPr="0048531B">
        <w:rPr>
          <w:rFonts w:ascii="Times New Roman" w:hAnsi="Times New Roman" w:cs="Times New Roman"/>
          <w:sz w:val="28"/>
          <w:szCs w:val="28"/>
        </w:rPr>
        <w:t>», включив в сумму закупки ИП Цыганкова А.С. НДС 18%, несмотря на то, что участник применяет упрощенную систему налогообложения. В следствие чего, ценовое предложение индивидуального предпринимателя составило 188 800,00 руб. с НДС18%, ценовое предложение ООО «</w:t>
      </w:r>
      <w:proofErr w:type="spellStart"/>
      <w:r w:rsidRPr="0048531B">
        <w:rPr>
          <w:rFonts w:ascii="Times New Roman" w:hAnsi="Times New Roman" w:cs="Times New Roman"/>
          <w:sz w:val="28"/>
          <w:szCs w:val="28"/>
        </w:rPr>
        <w:t>ТомСтройгарант</w:t>
      </w:r>
      <w:proofErr w:type="spellEnd"/>
      <w:r w:rsidRPr="0048531B">
        <w:rPr>
          <w:rFonts w:ascii="Times New Roman" w:hAnsi="Times New Roman" w:cs="Times New Roman"/>
          <w:sz w:val="28"/>
          <w:szCs w:val="28"/>
        </w:rPr>
        <w:t>» - 186 000,00 рублей с НДС 18%.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Вместе с тем, ни Положение о закупке товаров ООО «Томскводоканал», ни Документация не предусматривают возможность закупочной комиссии при оценке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ценовых предложений участников закупки производить перерасчет предложенных участниками цен без учета НДС – 18% или с учетом НДС.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На основании изложенного, Комиссией Томского УФАС России принято решение о признании жалобы обоснованной, заказчику – ООО «Томскводоканал» выдано предписание об отмене протокола рассмотрения и оценки заявок, действия ООО «Томскводоканал» признаны нарушающими требования ч. 6 ст. 3 Закона №223-ФЗ (не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заявок на участие в закупке по критериям и в порядке, которые не указаны в документации о закупке), материалы дела переданы должностному лицу Томского УФАС России для решения вопроса о привлечении виновных лиц к административной ответственности по ч. 8 ст. 7.32.3 КоАП РФ (предъявление требований к участникам закупок товаров, работ, услуг отдельными видами юридических лиц, к закупаемым товарам, работам, услугам и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или) к условиям договора либо оценка и (или) сопоставление заявок на участие в закупке по критериям и в порядке, которые не указаны в документации о закупке товаров, работ, услуг).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ООО «Томскводоканал» оштрафовано на сумму 5 000 рублей. 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31B">
        <w:rPr>
          <w:rFonts w:ascii="Times New Roman" w:hAnsi="Times New Roman" w:cs="Times New Roman"/>
          <w:b/>
          <w:sz w:val="28"/>
          <w:szCs w:val="28"/>
          <w:u w:val="single"/>
        </w:rPr>
        <w:t>Пример</w:t>
      </w:r>
      <w:r w:rsidR="00D1720B" w:rsidRPr="00485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48531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7 марта 2018 года в Томское УФАС России поступила жалоба ООО ЧОП «ЦСБ» на действия заказчика – ООО «Аэропорт Томск» при проведении открытого запроса предложений в электронной форме на оказание услуг по охране и обеспечению пропускного режима доступа, поддержанию общественного порядка, пресечению террористических и противоправных действий, осуществлению мероприятий при чрезвычайных ситуаций на объектах (Извещение № 31806115558).</w:t>
      </w:r>
      <w:proofErr w:type="gramEnd"/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 xml:space="preserve">Из жалобы следует, что при проведении запроса предложений заказчик неправомерно отказал в допуске заявки ООО ЧОП «ЦСБ» к участию в запросе предложений в связи с отсутствием в составе заявки личных карточек охранников, документов, подтверждающих регистрацию охранников на территории г. Томска, ЗАТО Северск, Томского района, сведений о создании круглосуточной технической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службы по эксплуатационному обслуживанию технических средств охраны (приказа, сведений о сотрудниках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>), сведений о наличии прямой радиосвязи с подразделениями УМВД по Томской области. В жалобе заявитель указывает на то, что при подаче заявки на участие в запросе предложений ООО ЧОП «ЦСБ» соблюдены требования к составу заявки, отклонением заявки ООО ЧОП «ЦСБ» нарушен порядок определения победителя запроса предложений.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31B">
        <w:rPr>
          <w:rFonts w:ascii="Times New Roman" w:hAnsi="Times New Roman" w:cs="Times New Roman"/>
          <w:sz w:val="28"/>
          <w:szCs w:val="28"/>
        </w:rPr>
        <w:t>При этом пунктом 28 информационной карты утвержден перечень документов, представляемых участниками закупки для подтверждения их соответствия установленным требованиям, в том числе заявка на участие в закупке, анкета участника, копии учредительных документов, копия свидетельства о государственной регистрации юридического лица или физического лица в качестве индивидуального предпринимателя, копия свидетельства о внесении записи в ЕГРЮЛ, копия свидетельства о постановке на учет российской организации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в налоговом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, копия документа, подтверждающего местонахождение юридического лица или индивидуального предпринимателя и т.д. 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Таким образом, состав документов, прилагаемых к заявке участника запроса предложений, установлен в п. 28 информационной карты.</w:t>
      </w:r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 соответствии с п. 5 технического задания заказчиком определены требования к услугам по измеримым/исчисляемым параметрам  потребительских свойств.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Исполнитель  должен оказывать услуги в соответствии с установленными требованиями, в том числе представить заказчику удостоверения и личные карточки сотрудников охранного предприятия, имеющих удостоверение частного охранника 6 разряда, документы, подтверждающие наличие у охранного предприятия выделенной частоты радиосвязи и т.д.</w:t>
      </w:r>
      <w:proofErr w:type="gramEnd"/>
    </w:p>
    <w:p w:rsidR="002132CB" w:rsidRPr="0048531B" w:rsidRDefault="002132CB" w:rsidP="00D172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>Следовательно, заказчиком установлены требования непосредственно для исполнителя услуг, т.е. для участника запроса предложений, признанного победителем данной закупки и принявшим на себя обязательство по исполнению условий договора, а не участника закупки.</w:t>
      </w:r>
    </w:p>
    <w:p w:rsidR="00C06279" w:rsidRDefault="002132CB" w:rsidP="000A45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Комиссия Томского УФАС России, изучив жалобу ООО ЧОП «ЦСБ», установила, что при проведении запроса предложений заказчиком ООО «Аэропорт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 xml:space="preserve">Томск» нарушен порядок организации и проведения торгов, а именно ч. 6 ст. 3 Закона № 223-ФЗ. Таким образом, жалоба заявителя признана обоснованной. </w:t>
      </w:r>
      <w:proofErr w:type="gramStart"/>
      <w:r w:rsidRPr="0048531B">
        <w:rPr>
          <w:rFonts w:ascii="Times New Roman" w:hAnsi="Times New Roman" w:cs="Times New Roman"/>
          <w:sz w:val="28"/>
          <w:szCs w:val="28"/>
        </w:rPr>
        <w:t>Заказчику – ООО «Аэропорт Томск» выдано предписание об аннулировании протоколов очного заседания закупочной комиссии, материалы дела переданы должностному лицу Томского УФАС России для решения вопроса о привлечении виновных лиц к административной ответственности по ч. 8 ст. 7.32.3 КоАП РФ (предъявление требований к участникам закупок товаров, работ, услуг отдельными видами юридических лиц, к закупаемым товарам, работам, услугам и (или) к условиям договора</w:t>
      </w:r>
      <w:proofErr w:type="gramEnd"/>
      <w:r w:rsidRPr="0048531B">
        <w:rPr>
          <w:rFonts w:ascii="Times New Roman" w:hAnsi="Times New Roman" w:cs="Times New Roman"/>
          <w:sz w:val="28"/>
          <w:szCs w:val="28"/>
        </w:rPr>
        <w:t xml:space="preserve"> либо оценка и (или) сопоставление заявок на участие в закупке по критериям и в порядке, которые не указаны в документации о закупке товаров, работ, услуг). ООО «Аэропорт Томск» ошт</w:t>
      </w:r>
      <w:r w:rsidR="000A4585">
        <w:rPr>
          <w:rFonts w:ascii="Times New Roman" w:hAnsi="Times New Roman" w:cs="Times New Roman"/>
          <w:sz w:val="28"/>
          <w:szCs w:val="28"/>
        </w:rPr>
        <w:t>рафовано на сумму 5 000 рублей.</w:t>
      </w:r>
    </w:p>
    <w:p w:rsidR="000A4585" w:rsidRPr="00082F79" w:rsidRDefault="00082F79" w:rsidP="000A458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2F79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082F79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сфере закупок товаров, работ, услуг для обеспечения государственных и муниципальных нужд </w:t>
      </w:r>
    </w:p>
    <w:p w:rsidR="00D1720B" w:rsidRPr="0048531B" w:rsidRDefault="00D1720B" w:rsidP="007D3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79">
        <w:rPr>
          <w:rFonts w:ascii="Times New Roman" w:hAnsi="Times New Roman" w:cs="Times New Roman"/>
          <w:sz w:val="28"/>
          <w:szCs w:val="28"/>
        </w:rPr>
        <w:t xml:space="preserve">Одним из направлений деятельности  антимонопольного ведомства является </w:t>
      </w:r>
      <w:bookmarkStart w:id="6" w:name="OLE_LINK9"/>
      <w:bookmarkStart w:id="7" w:name="OLE_LINK10"/>
      <w:bookmarkStart w:id="8" w:name="OLE_LINK11"/>
      <w:r w:rsidRPr="00082F79">
        <w:rPr>
          <w:rFonts w:ascii="Times New Roman" w:hAnsi="Times New Roman" w:cs="Times New Roman"/>
          <w:sz w:val="28"/>
          <w:szCs w:val="28"/>
        </w:rPr>
        <w:t>контроль в сфере государственных и муниципальных закупок</w:t>
      </w:r>
      <w:bookmarkEnd w:id="6"/>
      <w:bookmarkEnd w:id="7"/>
      <w:bookmarkEnd w:id="8"/>
      <w:r w:rsidRPr="00082F79">
        <w:rPr>
          <w:rFonts w:ascii="Times New Roman" w:hAnsi="Times New Roman" w:cs="Times New Roman"/>
          <w:sz w:val="28"/>
          <w:szCs w:val="28"/>
        </w:rPr>
        <w:t>. Томское УФАС России рассматривает жалобы на действия (бездействие) заказчика</w:t>
      </w:r>
      <w:r w:rsidRPr="0048531B">
        <w:rPr>
          <w:rFonts w:ascii="Times New Roman" w:hAnsi="Times New Roman" w:cs="Times New Roman"/>
          <w:sz w:val="28"/>
          <w:szCs w:val="28"/>
        </w:rPr>
        <w:t>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расположенных на территории Томской области.</w:t>
      </w:r>
    </w:p>
    <w:p w:rsidR="00D1720B" w:rsidRPr="0048531B" w:rsidRDefault="00D1720B" w:rsidP="007D3A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Российской Федерации от 8 декабря 2005 г. № 2154-р федеральные органы исполнительной власти должны составлять годовые планы-графики размещения заказа и с поквартальным уточнением размещать их в сети Интернет. Таким образом, созданы условия для реализации общественного контроля за </w:t>
      </w:r>
      <w:proofErr w:type="spellStart"/>
      <w:r w:rsidRPr="0048531B">
        <w:rPr>
          <w:rFonts w:ascii="Times New Roman" w:hAnsi="Times New Roman" w:cs="Times New Roman"/>
          <w:sz w:val="28"/>
          <w:szCs w:val="28"/>
        </w:rPr>
        <w:t>госзакупками</w:t>
      </w:r>
      <w:proofErr w:type="spellEnd"/>
      <w:r w:rsidRPr="0048531B">
        <w:rPr>
          <w:rFonts w:ascii="Times New Roman" w:hAnsi="Times New Roman" w:cs="Times New Roman"/>
          <w:sz w:val="28"/>
          <w:szCs w:val="28"/>
        </w:rPr>
        <w:t xml:space="preserve"> – от стадии планирования закупок до исполнения государственных контрактов. </w:t>
      </w:r>
    </w:p>
    <w:p w:rsidR="00D1720B" w:rsidRDefault="00D1720B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31B">
        <w:rPr>
          <w:rFonts w:ascii="Times New Roman" w:hAnsi="Times New Roman" w:cs="Times New Roman"/>
          <w:sz w:val="28"/>
          <w:szCs w:val="28"/>
        </w:rPr>
        <w:t xml:space="preserve">Предварительные итоги осуществления Томским УФАС России государственного контроля соблюдения требований Федерального закона от 05.04.2013 № 44-ФЗ "О контрактной системе в сфере закупок товаров, работ, услуг </w:t>
      </w:r>
      <w:r w:rsidRPr="0048531B">
        <w:rPr>
          <w:rFonts w:ascii="Times New Roman" w:hAnsi="Times New Roman" w:cs="Times New Roman"/>
          <w:sz w:val="28"/>
          <w:szCs w:val="28"/>
        </w:rPr>
        <w:lastRenderedPageBreak/>
        <w:t>для обеспечения государственных и муниципальных нужд" за 8 мес. 2018 года представлены в таблице ниже.</w:t>
      </w: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A5F" w:rsidRPr="0048531B" w:rsidRDefault="007D3A5F" w:rsidP="007D3A5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279" w:rsidRPr="0048531B" w:rsidRDefault="00C06279" w:rsidP="00C062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06279" w:rsidRPr="0048531B" w:rsidRDefault="00C06279" w:rsidP="00C0627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8531B">
        <w:rPr>
          <w:rFonts w:ascii="Times New Roman" w:hAnsi="Times New Roman" w:cs="Times New Roman"/>
          <w:sz w:val="24"/>
          <w:szCs w:val="24"/>
        </w:rPr>
        <w:t>Статистические показатели: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1"/>
        <w:gridCol w:w="1479"/>
        <w:gridCol w:w="1559"/>
        <w:gridCol w:w="2410"/>
      </w:tblGrid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Основные статистические показатели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 xml:space="preserve"> мес. 2016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 xml:space="preserve"> мес. 2017</w:t>
            </w:r>
          </w:p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8 мес. 2018</w:t>
            </w:r>
          </w:p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на 17.08.2018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Поступило жалоб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176 (3 в стадии рассмотрения)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возвращено заявителям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отозвано заявителями до рассмотрения по существу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рассмотрено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признано необоснованными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признано обоснованными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Выдано предписаний, из них: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по жалобам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по внеплановым проверкам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Рассмотрено РНП, из них: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67 (2 в стадии рассмотрения)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включено в РНП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Возбуждено дел об административных правонарушениях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154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 xml:space="preserve">Сумма наложенных штрафных санкций за нарушение законодательства в сфере закупок, тыс. </w:t>
            </w:r>
            <w:proofErr w:type="spellStart"/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1650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1145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1226</w:t>
            </w:r>
          </w:p>
        </w:tc>
      </w:tr>
      <w:tr w:rsidR="00C06279" w:rsidRPr="0048531B" w:rsidTr="00A50158">
        <w:tc>
          <w:tcPr>
            <w:tcW w:w="4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 xml:space="preserve">Сумма уплаченных штрафных санкций за нарушение законодательства в сфере закупок, </w:t>
            </w:r>
            <w:r w:rsidRPr="0048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1100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06279" w:rsidRPr="0048531B" w:rsidRDefault="00C06279" w:rsidP="00A50158">
            <w:p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31B">
              <w:rPr>
                <w:rFonts w:ascii="Times New Roman" w:hAnsi="Times New Roman" w:cs="Times New Roman"/>
                <w:sz w:val="26"/>
                <w:szCs w:val="26"/>
              </w:rPr>
              <w:t>1194</w:t>
            </w:r>
          </w:p>
        </w:tc>
      </w:tr>
    </w:tbl>
    <w:p w:rsidR="00C06279" w:rsidRPr="0048531B" w:rsidRDefault="00C06279" w:rsidP="00C06279">
      <w:pPr>
        <w:suppressAutoHyphens/>
        <w:spacing w:line="36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C06279" w:rsidRPr="0048531B" w:rsidRDefault="00C06279" w:rsidP="007D3A5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Количество поступивших в Томское УФАС России за 8 месяцев 2018 года (по состоянию на 17.08.2018г.) жалоб на действия (бездействия) заказчиков, уполномоченных органов, комиссий по рассмотрению заявок, по сравнению с аналогичными периодами 2017 и 2016 года, практически не изменилось и остается на прежнем уровне.</w:t>
      </w:r>
      <w:proofErr w:type="gramEnd"/>
    </w:p>
    <w:p w:rsidR="00C06279" w:rsidRPr="0048531B" w:rsidRDefault="00C06279" w:rsidP="007D3A5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 этом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доля обоснованных жалоб за 8 месяцев 2018 года по сравнению с аналогичным периодом 2017 года увеличилась на 12,5%.</w:t>
      </w:r>
    </w:p>
    <w:p w:rsidR="00C06279" w:rsidRPr="0048531B" w:rsidRDefault="00C06279" w:rsidP="007D3A5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Основная доля жалоб, рассмотренных за 8 месяцев 2018 г., приходится на действия муниципальных заказчиков (их комиссий) – 39,4 %, на действия заказчиков (их комиссий) Томской области – 17, 4%, менее всего были обжалованы действия федеральных заказчиков (их комиссий) – 12,1%.</w:t>
      </w:r>
    </w:p>
    <w:p w:rsidR="00C06279" w:rsidRPr="0048531B" w:rsidRDefault="00C06279" w:rsidP="007D3A5F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 каждым годом доля обоснованных жалоб относительно рассмотренных увеличивается. Так, за 8 месяцев 2018 года доля обоснованных жалоб относительно рассмотренных составила 41% (54 обоснованных из 132 рассмотренных), за аналогичный период 2017 года 34,2 % (48 обоснованных из 140 рассмотренных).</w:t>
      </w:r>
    </w:p>
    <w:p w:rsidR="00C06279" w:rsidRPr="0048531B" w:rsidRDefault="00C06279" w:rsidP="007D3A5F">
      <w:pPr>
        <w:suppressAutoHyphens/>
        <w:spacing w:after="0" w:line="360" w:lineRule="auto"/>
        <w:ind w:left="17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Приведенные показатели свидетельствуют о росте уровня правовой просвещенности в вопросах законодательства о контрактной системе среди участников закупок, подающих жалобы, а также о низком уровне подготовки специалистов, осуществляющих закупки, либо их отсутствия вообще (сельские поселения, различные школьные и дошкольные учреждения, и т.д.), о несвоевременном отслеживании изменений действующего законодательства о контрактной системе в сфере закупок (не учитываются актуальные разъяснения и судебная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практика по законодательству о закупках), в связи с чем, в большинстве случаев допускаются нарушения.</w:t>
      </w:r>
    </w:p>
    <w:p w:rsidR="00C06279" w:rsidRPr="0048531B" w:rsidRDefault="00C06279" w:rsidP="00C06279">
      <w:pPr>
        <w:suppressAutoHyphens/>
        <w:spacing w:line="36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Наиболее распространенные нарушения законодательства о контрактной системе не изменились.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К наиболее распространенным нарушениям, выявленным при рассмотрении жалоб и проведения внеплановых проверок, относятся установление требований в извещениях и документациях о закупках, не соответствующих действующему законодательству, а именно: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zh-CN" w:bidi="hi-IN"/>
        </w:rPr>
        <w:t>нарушение правил описания объекта закупки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(например: установление недействующих ГОСТов, стандартов; указание несуществующих единиц измерения, ошибки в описании технических характеристик товара, приводящие к неоднозначному толкованию требований участниками закупок).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Пример: При проведении электронного аукциона на выполнение работ по капитальному ремонту фасада здания в действиях заказчика установлены нарушения ч.1 ст.33 Закона 44-ФЗ при описании объекта закупки, а именно, в части установления обозначения величины измерения «м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vertAlign w:val="superscript"/>
          <w:lang w:eastAsia="zh-CN" w:bidi="hi-IN"/>
        </w:rPr>
        <w:t>2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» не в соответствии с общепринятыми стандартами, было указано «м2».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установление дополнительных неправомерных требований к участникам закупки либо 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zh-CN" w:bidi="hi-IN"/>
        </w:rPr>
        <w:t>неустановление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u w:val="single"/>
          <w:lang w:eastAsia="zh-CN" w:bidi="hi-IN"/>
        </w:rPr>
        <w:t xml:space="preserve"> требований к участникам закупки в соответствии с законодательством и др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. (например: 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неустановление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дополнительных требований по наличию опыта участников закупки на строительные работы, предусмотренные законодательством, в случае если начальная максимальная цена контракта превышает 10 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млн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рублей в соответствии с положениями Постановления Правительства РФ от 04.02.2015 № 99 ).</w:t>
      </w:r>
    </w:p>
    <w:p w:rsidR="00C06279" w:rsidRPr="0048531B" w:rsidRDefault="00C06279" w:rsidP="007D3A5F">
      <w:pPr>
        <w:suppressAutoHyphens/>
        <w:spacing w:after="0" w:line="360" w:lineRule="auto"/>
        <w:ind w:left="17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ч.3 ст.63 Закона 44-ФЗ, а именно сокращение сроков подачи заявок (связано с неверным исчислением дней, необходимых для размещения извещений о проведении закупок);</w:t>
      </w:r>
    </w:p>
    <w:p w:rsidR="00C06279" w:rsidRPr="0048531B" w:rsidRDefault="00C06279" w:rsidP="007D3A5F">
      <w:pPr>
        <w:suppressAutoHyphens/>
        <w:spacing w:after="0" w:line="360" w:lineRule="auto"/>
        <w:ind w:left="17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ч.ч.5, 7, 8 ст.34 Закона 44-ФЗ - установление в проектах контрактов ответственности сторон еще по Постановлению Правительства РФ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поставщиком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(подрядчиком, исполнителем) обязательства, предусмотренного контрактом», которое еще с 08.09.2017 утратило свое силу;</w:t>
      </w:r>
    </w:p>
    <w:p w:rsidR="00C06279" w:rsidRPr="0048531B" w:rsidRDefault="00C06279" w:rsidP="007D3A5F">
      <w:pPr>
        <w:suppressAutoHyphens/>
        <w:spacing w:after="0" w:line="360" w:lineRule="auto"/>
        <w:ind w:left="17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ч.3 и ч.7 ст.96 Закона 44-ФЗ - установление требование в проектах контрактов и документациях о закупках, об обеспечении исполнения контракта, противоречащих требованиям законодательства о контрактной системе в сфере закупок;</w:t>
      </w:r>
    </w:p>
    <w:p w:rsidR="00C06279" w:rsidRPr="0048531B" w:rsidRDefault="00C06279" w:rsidP="007D3A5F">
      <w:pPr>
        <w:suppressAutoHyphens/>
        <w:spacing w:after="0" w:line="360" w:lineRule="auto"/>
        <w:ind w:left="17" w:firstLine="567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положений ст.30 Закона 44-ФЗ:</w:t>
      </w:r>
    </w:p>
    <w:p w:rsidR="00C06279" w:rsidRPr="0048531B" w:rsidRDefault="00C06279" w:rsidP="007D3A5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объявление закупки для СМП с суммой закупки превышающей 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ограничения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установленные п.1 ч.1 ст.30 Закона 44-ФЗ (сумма для СМП не должна превышать двадцать миллионов рублей),</w:t>
      </w:r>
    </w:p>
    <w:p w:rsidR="00C06279" w:rsidRPr="0048531B" w:rsidRDefault="00C06279" w:rsidP="007D3A5F">
      <w:pPr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ч.8 ст.30 Закона 44-ФЗ установление срока оплаты для СМП более чем в течение пятнадцати рабочих дней с даты подписания заказчиком документа о приемке;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нарушение ст.65 Закона 44-ФЗ в части неверного установления дат начала и окончания срока предоставления участникам электронного аукциона разъяснений положений документации о таком аукционе;</w:t>
      </w:r>
    </w:p>
    <w:p w:rsidR="00C06279" w:rsidRPr="0048531B" w:rsidRDefault="00C06279" w:rsidP="007D3A5F">
      <w:pPr>
        <w:spacing w:after="0" w:line="360" w:lineRule="auto"/>
        <w:ind w:left="284"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Примеры по жалобам: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1. Федеральным заказчиком (ТУСУР) объявлен электронный аукцион на выполнение капитального ремонта стен фасада здания общежития (код позиции КТРУ- 43.39.19.190), с начальной (максимальной) ценой контракта превышающей 10 млн. рублей, который подпадает под действие Постановления Правительства Российской Федерации от 04.02.2015 №99, устанавливающего дополнительные требования к участникам такой закупки.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Томское УФАС России поступила жалоба ООО «Перспектива», из которой следовало, что Заказчиком в нарушение ст.31 Закона 44-ФЗ при проведении указанной закупки к участникам такого аукционе не предъявлены дополнительные требования в соответствии с положениями Постановления Правительства Российской Федерации от 04.02.2015 №99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 ходе рассмотрения дела доводы заявителя подтвердились, Комиссия Томского УФАС России установила, что документация об аукционе действительно не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соответствует требованиям ст.31 и ч.3 ст.64 Закона о контрактной системе, а также в ходе проведения внеплановой проверки материалов электронного аукциона были установлены нарушения 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ст.ст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. п.6 ч.5 63, п.2 ч.5 ст.66 Закона о контрактной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системе. А именно: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в нарушение п.6 ч.5 ст.63 Закона 44-ФЗ в извещении о проведении электронного аукциона на выполнение работ не указаны требования, предъявляемые к участникам такого аукциона, и исчерпывающий перечень документов, которые должны быть представлены участниками такого аукциона в соответствии с ч.2 ст.31 настоящего Федерального закона;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в нарушение ч.ч.2, 4, 5 ст.31, ч.3 ст.64 Закона 44-ФЗ документация электронного аукциона не содержит в себе дополнительных требований к участникам такой закупки, установленных Постановлением Правительства №99;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в нарушение п.2 ч.5 ст.66 Закона 44-ФЗ Заказчиком в документации электронного аукциона не установлены требования ко второй части заявки в части необходимости представления участниками закупки перечня документов, установленных ч.2.1 ст.31 Закона 44-ФЗ и Постановлением Правительства №99 (в части подтверждения опыта выполнения работ, являющихся предметом закупки).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результатам рассмотрения, указанная жалоба признана обоснованной, а также приято решение о выдачи обязательных для исполнения предписаний в адрес: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аукционной комиссии Заказчика об отмене 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протокола рассмотрения первых частей заявок участников такой закупки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;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Заказчику о приведении документации о закупки в соответствие с действующим законодательством.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Материалы дела переданы для решения вопроса о привлечении виновных должностных лиц Заказчика к административной ответственности.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Томское УФАС России установило, что документация об аукционе ФГБНУ «Томский НИМЦ» на поставку регистраторов ЭКГ с принадлежностями для НИИ кардиологии не соответствует требованиям Закона о контрактной системе, поскольку Заказчиком установлены незаконные требования к содержанию первой части заявки на участие в закупке.</w:t>
      </w:r>
      <w:proofErr w:type="gramEnd"/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Основанием для проведения внеплановой проверки антимонопольным органом послужила жалоба ООО «Фирма «АСТЕЛ» на действия ФГБНУ «Томский НИМЦ» при проведении электронного аукциона на поставку регистраторов ЭКГ для нужд НИИ кардиологии с начальной ценой контракта 1 100 500, 00 рублей. По мнению заявителя, документация об аукционе не соответствует требованиям Федерального закона от 05.04.2013 № 44-ФЗ «О контрактной системе в сфере закупок товаров, работ, услуг для государственных и муниципальных нужд».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ходе рассмотрения дела доводы заявителя подтвердились, Комиссия Томского УФАС России установила, что документация об аукционе действительно не соответствует требованиям части 6 статьи 66 Закона о контрактной системе.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 частности, незаконным является требование Заказчика к содержанию первой части заявки на участие в закупке о том, что участник закупки несет ответственность за достоверность сведений о стране происхождения товара, указанного в заявке на участие в электронном аукционе.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Требование об указании в первой части заявки на участие в закупке наименования места происхождения товара или наименования производителя предлагаемого для поставки товара также признано Комиссией антимонопольного органа незаконным.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Учитывая, что заказчиком самостоятельно устранены нарушения Закона о контрактной системе, Томским УФАС России принято решение не выдавать предписание.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Вместе с тем, по итогу рассмотрения дела жалоба на положения документации ФГБНУ «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Томский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НИМЦ» признана обоснованной, материалы дела переданы для решения вопроса о привлечении виновных должностных лиц Заказчика к административной ответственности.</w:t>
      </w:r>
    </w:p>
    <w:p w:rsidR="00C06279" w:rsidRPr="0048531B" w:rsidRDefault="00C06279" w:rsidP="007D3A5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Должностное лицо заказчика, утвердившее документацию электронного аукциона привлечено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 административной ответственности по ч.4.2 ст.7.30 КоАП РФ.</w:t>
      </w:r>
    </w:p>
    <w:p w:rsidR="00C06279" w:rsidRPr="0048531B" w:rsidRDefault="00C06279" w:rsidP="00082F79">
      <w:pPr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Внеплановые и плановые проверки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За 8 месяцев 2018 года проведено 45 внеплановых проверок и 3 плановых проверки деятельности 3/х федеральных заказчиков.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Во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квартале 2018 года проведены 17 внеплановых проверки и 1 плановых проверки деятельности 2/х структурных подразделений одного федерального заказчиков.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Проверено более 360 закупок, выявлено более 62 нарушений (30 по плановым проверкам и 32 по внеплановым), и выдано 19 предписаний об устранении выявленных нарушений законодательства о контрактной системе в сфере закупок по результатам проведения внеплановых проверок.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Предписания об устранении нарушений законодательства, по результатам внеплановых проверок, выданы на основании обращений самих заказчиков об отмене неверно размещенной информации о закупке специалистами заказчика, уполномоченного органа по отмене определения поставщика (подрядчика, исполнителя) из-за наличия технических ошибок заказчика, его комиссий, сбоев в работе Единой информационной системе в сфере закупок и по иным основаниям.</w:t>
      </w:r>
      <w:proofErr w:type="gramEnd"/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Реестр недобросовестных поставщиков</w:t>
      </w:r>
    </w:p>
    <w:p w:rsidR="00C06279" w:rsidRPr="0048531B" w:rsidRDefault="00C06279" w:rsidP="007D3A5F">
      <w:pPr>
        <w:suppressAutoHyphens/>
        <w:spacing w:after="0" w:line="360" w:lineRule="auto"/>
        <w:ind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Количество поступивших и рассмотренных в Томское УФАС России обращений о включении в реестр недобросовестных поставщиков (далее - РНП) в соответствии со ст.104 Закона 44-ФЗ за 8 месяцев 2018 года по сравнению с аналогичным периодом 2017 года практически не изменилось.</w:t>
      </w:r>
      <w:proofErr w:type="gramEnd"/>
    </w:p>
    <w:p w:rsidR="00C06279" w:rsidRPr="0048531B" w:rsidRDefault="00C06279" w:rsidP="007D3A5F">
      <w:pPr>
        <w:suppressAutoHyphens/>
        <w:spacing w:after="0" w:line="360" w:lineRule="auto"/>
        <w:ind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При этом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,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за 8 месяцев 2018 года по сравнению с аналогичным периодом 2017 года доля сведений об участниках закупок, включенных в РНП составила 58% (доля включенных в РНП за аналогичный период 2017 года составила 46,3%).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Решения об отказе во включении в РНП обусловлено следующими факторами: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нарушением заказчиком процедуры расторжения контракта в одностороннем порядке: 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ненаправление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решения об одностороннем отказе от исполнения контракта в установленном Законом порядке (заказным письмом с уведомлением о вручении по адресу поставщика, а также иным способом – например, посредством факса, электронной почтой), 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неразмещение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в ЕИС указанного решения в течение установленного Законом о контрактной системе срока;</w:t>
      </w:r>
      <w:proofErr w:type="gramEnd"/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- отсутствием </w:t>
      </w: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доказательств факта уклонения участника закупки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от заключения контракта, например, отсутствие документов, подтверждающих своевременное направление проекта контракта и протокола рассмотрения и оценки котировочных заявок победителю, а также направление документов (электронной почтой) без подтверждения получения и т. п.;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отсутствием доказательств о недобросовестном поведении участников (победителей закупок) при исполнении контрактов, например, отсутствие актов о неисполнении работ, актов о выявлении недостатков, отсутствие фиксации, что победитель закупки вообще не приступил к выполнению работ и т.д.</w:t>
      </w:r>
    </w:p>
    <w:p w:rsidR="00C06279" w:rsidRPr="0048531B" w:rsidRDefault="00C06279" w:rsidP="007D3A5F">
      <w:pPr>
        <w:pStyle w:val="a5"/>
        <w:spacing w:line="360" w:lineRule="auto"/>
        <w:ind w:right="-23" w:firstLine="525"/>
        <w:rPr>
          <w:rFonts w:eastAsia="Arial Unicode MS"/>
          <w:b/>
          <w:kern w:val="3"/>
          <w:sz w:val="28"/>
          <w:szCs w:val="28"/>
          <w:lang w:eastAsia="zh-CN" w:bidi="hi-IN"/>
        </w:rPr>
      </w:pPr>
      <w:r w:rsidRPr="0048531B">
        <w:rPr>
          <w:rFonts w:eastAsia="Arial Unicode MS"/>
          <w:b/>
          <w:kern w:val="3"/>
          <w:sz w:val="28"/>
          <w:szCs w:val="28"/>
          <w:lang w:eastAsia="zh-CN" w:bidi="hi-IN"/>
        </w:rPr>
        <w:t>Практика применения мер административной ответственности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Наиболее частные санкции, по которым были привлечены к административной ответственности должностные лица во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val="en-US" w:eastAsia="zh-CN" w:bidi="hi-IN"/>
        </w:rPr>
        <w:t>II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квартале 2018 года: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ч.4.2 ст.7.30 КоАП РФ (утверждение документации об аукционе, определение содержания извещения о проведении запроса котировок с нарушением требований, предусмотренных законодательством Российской Федерации о контрактной системе в сфере закупок) - 51,5%;</w:t>
      </w:r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ч.2 ст.7.30 КоАП РФ (ч.2 ст.7.30 КоАП РФ - признание заявки на участие в аукционе надлежащей, соответствующей требованиям документации об аукционе, в случае, если участнику, подавшему такую заявку,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закупок) - 10,6%;</w:t>
      </w:r>
      <w:proofErr w:type="gramEnd"/>
    </w:p>
    <w:p w:rsidR="00C06279" w:rsidRPr="0048531B" w:rsidRDefault="00C06279" w:rsidP="007D3A5F">
      <w:pPr>
        <w:suppressAutoHyphens/>
        <w:spacing w:after="0" w:line="360" w:lineRule="auto"/>
        <w:ind w:left="17" w:firstLine="525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- 1.4 ст.7.30 КоАП РФ (размещение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закупок) - 7,7%;</w:t>
      </w:r>
      <w:proofErr w:type="gramEnd"/>
    </w:p>
    <w:p w:rsidR="00C06279" w:rsidRPr="0048531B" w:rsidRDefault="00C06279" w:rsidP="007D3A5F">
      <w:pPr>
        <w:autoSpaceDE w:val="0"/>
        <w:autoSpaceDN w:val="0"/>
        <w:adjustRightInd w:val="0"/>
        <w:spacing w:after="0" w:line="360" w:lineRule="auto"/>
        <w:ind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- ч.1 ст.7.32.5 КоАП РФ (нарушение должностным лицом заказчика срока и порядка оплаты товаров (работ, услуг) при осуществлении закупок для обеспечения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контрактом) и ч.1 ст.7.29 КоАП РФ (принятие решения о способе определения поставщика (подрядчика, исполнителя), в том числе решения о закупке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– около 6%.</w:t>
      </w:r>
    </w:p>
    <w:p w:rsidR="00C06279" w:rsidRPr="0048531B" w:rsidRDefault="00C06279" w:rsidP="007D3A5F">
      <w:pPr>
        <w:autoSpaceDE w:val="0"/>
        <w:autoSpaceDN w:val="0"/>
        <w:adjustRightInd w:val="0"/>
        <w:spacing w:after="0" w:line="360" w:lineRule="auto"/>
        <w:ind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По остальным статьям КоАП РФ (ч.2 ст.7.31, ч.1 ст.7.32, ч.1.2 ст.7.30,ч.3 ст.7.30. ч.4 ст.7.32, ч.2 ст.7.29, ч.1.3 ст.7.30. ч.1 ст.7.30 КоАП РФ) процент правления к административной ответственности составляет от 0,9% до 2,8%.</w:t>
      </w:r>
      <w:proofErr w:type="gramEnd"/>
    </w:p>
    <w:p w:rsidR="00C06279" w:rsidRPr="0048531B" w:rsidRDefault="00C06279" w:rsidP="007D3A5F">
      <w:pPr>
        <w:spacing w:after="0" w:line="360" w:lineRule="auto"/>
        <w:ind w:firstLine="525"/>
        <w:jc w:val="both"/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b/>
          <w:kern w:val="3"/>
          <w:sz w:val="28"/>
          <w:szCs w:val="28"/>
          <w:lang w:eastAsia="zh-CN" w:bidi="hi-IN"/>
        </w:rPr>
        <w:t>Наиболее распространённые нарушения и нарушители:</w:t>
      </w:r>
    </w:p>
    <w:p w:rsidR="00C06279" w:rsidRPr="0048531B" w:rsidRDefault="00C06279" w:rsidP="007D3A5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10 дел по ч.4.2 ст.7.30 КоАП РФ в отношении должностного лица ТГАСУ за утверждение документации с нарушением требований законодательства о контрактной системе в сфере закупок (неправомерные требования к составу первой части заявки – декларирование о том, что участник закупок не является офшорной компанией);</w:t>
      </w:r>
    </w:p>
    <w:p w:rsidR="00C06279" w:rsidRPr="0048531B" w:rsidRDefault="00C06279" w:rsidP="007D3A5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3 дела по ч.4.2 ст.7.30 КоАП РФ в отношении должностного лица ФГКУ 5 пожарный отряд за утверждение документации с нарушением требований законодательства о контрактной системе в сфере закупок (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неустановление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дат начала и окончания дачи разъяснений положений документации электронного аукциона, неправомерное установление требований к предоставлению в составе заявок документов и сведений по ст.29 Закона 44-ФЗ при условии, что</w:t>
      </w:r>
      <w:proofErr w:type="gram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ограничения по указанной статье не предусмотрены заказчиком в такой документации);</w:t>
      </w:r>
    </w:p>
    <w:p w:rsidR="00C06279" w:rsidRPr="0048531B" w:rsidRDefault="00C06279" w:rsidP="007D3A5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4 дела по ч.4.2 ст.7.30 КоАП РФ в отношении должностного лица ОГКУЗ «Дом ребенка, специализированный для детей с органическим поражением центральной нервной системы с нарушением психики» за утверждение документации с нарушением требований законодательства о контрактной системе в сфере закупок (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ответсвенность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сторон установлена не в соответствии с требованием </w:t>
      </w: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lastRenderedPageBreak/>
        <w:t>законодательства о контрактной системе в сфере закупок);</w:t>
      </w:r>
      <w:proofErr w:type="gramEnd"/>
    </w:p>
    <w:p w:rsidR="00C06279" w:rsidRPr="0048531B" w:rsidRDefault="00C06279" w:rsidP="007D3A5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6 дел в отношении должностного лица МУБ АГП «Энергия-Т2» по ч.1 (4 дела) и ч.2 (2 дела) ст.7.29 КоАП РФ – неверный выбор способа определения поставщика (МУБ АГП «Энергия-Т2» в нарушение ст.24 Закона 44-ФЗ заключены контракты на поставку угля без проведения конкурентных процедур);</w:t>
      </w:r>
    </w:p>
    <w:p w:rsidR="00C06279" w:rsidRPr="0048531B" w:rsidRDefault="00C06279" w:rsidP="007D3A5F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6 дел в отношении членов аукционной комиссии МКОУ «</w:t>
      </w:r>
      <w:proofErr w:type="spellStart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>Шегарская</w:t>
      </w:r>
      <w:proofErr w:type="spellEnd"/>
      <w:r w:rsidRPr="0048531B"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  <w:t xml:space="preserve"> СОШ» по ч.2 ст.7.30 КоАП РФ за неправомерное признание заявок участников закупки соответствующими требованиям документации о такой закупки, когда в силу требований законодательства о контрактной системе такие заявки должны были быть признаны несоответствующими.</w:t>
      </w:r>
      <w:proofErr w:type="gramEnd"/>
    </w:p>
    <w:p w:rsidR="00C06279" w:rsidRPr="0048531B" w:rsidRDefault="00C06279" w:rsidP="007D3A5F">
      <w:pPr>
        <w:autoSpaceDE w:val="0"/>
        <w:autoSpaceDN w:val="0"/>
        <w:adjustRightInd w:val="0"/>
        <w:spacing w:after="0" w:line="360" w:lineRule="auto"/>
        <w:ind w:firstLine="525"/>
        <w:jc w:val="both"/>
        <w:rPr>
          <w:rFonts w:ascii="Times New Roman" w:eastAsia="Arial Unicode MS" w:hAnsi="Times New Roman" w:cs="Times New Roman"/>
          <w:kern w:val="3"/>
          <w:sz w:val="28"/>
          <w:szCs w:val="28"/>
          <w:lang w:eastAsia="zh-CN" w:bidi="hi-IN"/>
        </w:rPr>
      </w:pPr>
    </w:p>
    <w:p w:rsidR="002132CB" w:rsidRPr="0048531B" w:rsidRDefault="002132CB" w:rsidP="007D3A5F">
      <w:pPr>
        <w:pStyle w:val="Textbody"/>
        <w:spacing w:after="0"/>
        <w:ind w:firstLine="525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sectPr w:rsidR="002132CB" w:rsidRPr="0048531B" w:rsidSect="00A5015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5D" w:rsidRDefault="002C645D" w:rsidP="00585CF3">
      <w:pPr>
        <w:spacing w:after="0" w:line="240" w:lineRule="auto"/>
      </w:pPr>
      <w:r>
        <w:separator/>
      </w:r>
    </w:p>
  </w:endnote>
  <w:endnote w:type="continuationSeparator" w:id="0">
    <w:p w:rsidR="002C645D" w:rsidRDefault="002C645D" w:rsidP="0058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5D" w:rsidRDefault="002C645D" w:rsidP="00585CF3">
      <w:pPr>
        <w:spacing w:after="0" w:line="240" w:lineRule="auto"/>
      </w:pPr>
      <w:r>
        <w:separator/>
      </w:r>
    </w:p>
  </w:footnote>
  <w:footnote w:type="continuationSeparator" w:id="0">
    <w:p w:rsidR="002C645D" w:rsidRDefault="002C645D" w:rsidP="00585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621021"/>
      <w:docPartObj>
        <w:docPartGallery w:val="Page Numbers (Top of Page)"/>
        <w:docPartUnique/>
      </w:docPartObj>
    </w:sdtPr>
    <w:sdtContent>
      <w:p w:rsidR="002C645D" w:rsidRDefault="002C645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EB">
          <w:rPr>
            <w:noProof/>
          </w:rPr>
          <w:t>28</w:t>
        </w:r>
        <w:r>
          <w:fldChar w:fldCharType="end"/>
        </w:r>
      </w:p>
    </w:sdtContent>
  </w:sdt>
  <w:p w:rsidR="002C645D" w:rsidRDefault="002C645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7B4D64C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4724D2"/>
    <w:multiLevelType w:val="hybridMultilevel"/>
    <w:tmpl w:val="8254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44E14"/>
    <w:multiLevelType w:val="hybridMultilevel"/>
    <w:tmpl w:val="2CEE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92774"/>
    <w:multiLevelType w:val="multilevel"/>
    <w:tmpl w:val="AB9286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8EC2DDF"/>
    <w:multiLevelType w:val="multilevel"/>
    <w:tmpl w:val="E8C097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B384335"/>
    <w:multiLevelType w:val="multilevel"/>
    <w:tmpl w:val="F686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AC221F"/>
    <w:multiLevelType w:val="multilevel"/>
    <w:tmpl w:val="50AC2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5E200C"/>
    <w:multiLevelType w:val="hybridMultilevel"/>
    <w:tmpl w:val="3C54ED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54"/>
    <w:rsid w:val="00002D3C"/>
    <w:rsid w:val="00021303"/>
    <w:rsid w:val="00025168"/>
    <w:rsid w:val="00036E5C"/>
    <w:rsid w:val="00055384"/>
    <w:rsid w:val="00056BF1"/>
    <w:rsid w:val="0006357C"/>
    <w:rsid w:val="0007253E"/>
    <w:rsid w:val="00082F79"/>
    <w:rsid w:val="00091E8C"/>
    <w:rsid w:val="000A4585"/>
    <w:rsid w:val="000C0CA8"/>
    <w:rsid w:val="000C0E84"/>
    <w:rsid w:val="000F438D"/>
    <w:rsid w:val="00124C71"/>
    <w:rsid w:val="00125AC3"/>
    <w:rsid w:val="0013298B"/>
    <w:rsid w:val="00172F1C"/>
    <w:rsid w:val="001909D5"/>
    <w:rsid w:val="0019338A"/>
    <w:rsid w:val="001B37BD"/>
    <w:rsid w:val="001F111D"/>
    <w:rsid w:val="002132CB"/>
    <w:rsid w:val="00223904"/>
    <w:rsid w:val="00226660"/>
    <w:rsid w:val="002554EB"/>
    <w:rsid w:val="00294D6C"/>
    <w:rsid w:val="002A75CC"/>
    <w:rsid w:val="002B6E2D"/>
    <w:rsid w:val="002C645D"/>
    <w:rsid w:val="002D6EA4"/>
    <w:rsid w:val="002E5555"/>
    <w:rsid w:val="00313719"/>
    <w:rsid w:val="00336F85"/>
    <w:rsid w:val="003565C5"/>
    <w:rsid w:val="00360DEB"/>
    <w:rsid w:val="00390B67"/>
    <w:rsid w:val="00391590"/>
    <w:rsid w:val="00392016"/>
    <w:rsid w:val="003A3C18"/>
    <w:rsid w:val="003B1386"/>
    <w:rsid w:val="003B7469"/>
    <w:rsid w:val="003E19D0"/>
    <w:rsid w:val="003F61EE"/>
    <w:rsid w:val="0040113B"/>
    <w:rsid w:val="00426AA6"/>
    <w:rsid w:val="00450CA1"/>
    <w:rsid w:val="00453C29"/>
    <w:rsid w:val="00456A83"/>
    <w:rsid w:val="00467F67"/>
    <w:rsid w:val="0048531B"/>
    <w:rsid w:val="004B2BE6"/>
    <w:rsid w:val="004B3DFA"/>
    <w:rsid w:val="004B46AC"/>
    <w:rsid w:val="004E079D"/>
    <w:rsid w:val="004E67C4"/>
    <w:rsid w:val="004F5675"/>
    <w:rsid w:val="005009F8"/>
    <w:rsid w:val="00501E70"/>
    <w:rsid w:val="00583370"/>
    <w:rsid w:val="00585CF3"/>
    <w:rsid w:val="00590DB3"/>
    <w:rsid w:val="00593983"/>
    <w:rsid w:val="005A67D0"/>
    <w:rsid w:val="006064AB"/>
    <w:rsid w:val="0061356F"/>
    <w:rsid w:val="006465CD"/>
    <w:rsid w:val="0065496C"/>
    <w:rsid w:val="00656093"/>
    <w:rsid w:val="00683E3F"/>
    <w:rsid w:val="006846A3"/>
    <w:rsid w:val="00684EFE"/>
    <w:rsid w:val="00686365"/>
    <w:rsid w:val="0069208F"/>
    <w:rsid w:val="006D2B42"/>
    <w:rsid w:val="006D6969"/>
    <w:rsid w:val="006F571B"/>
    <w:rsid w:val="006F7140"/>
    <w:rsid w:val="00701988"/>
    <w:rsid w:val="00725799"/>
    <w:rsid w:val="00730024"/>
    <w:rsid w:val="00740500"/>
    <w:rsid w:val="00745B80"/>
    <w:rsid w:val="00794C8C"/>
    <w:rsid w:val="007A27DB"/>
    <w:rsid w:val="007B0DA4"/>
    <w:rsid w:val="007D3A5F"/>
    <w:rsid w:val="007E129F"/>
    <w:rsid w:val="00811258"/>
    <w:rsid w:val="00821540"/>
    <w:rsid w:val="00843603"/>
    <w:rsid w:val="00844C23"/>
    <w:rsid w:val="00861906"/>
    <w:rsid w:val="008776B5"/>
    <w:rsid w:val="008A07E5"/>
    <w:rsid w:val="008A163C"/>
    <w:rsid w:val="008B4E62"/>
    <w:rsid w:val="00900B08"/>
    <w:rsid w:val="0090230B"/>
    <w:rsid w:val="00904652"/>
    <w:rsid w:val="00912C7F"/>
    <w:rsid w:val="00927622"/>
    <w:rsid w:val="00931751"/>
    <w:rsid w:val="009403DE"/>
    <w:rsid w:val="00957D84"/>
    <w:rsid w:val="00961FBE"/>
    <w:rsid w:val="00975B8F"/>
    <w:rsid w:val="009B7C7E"/>
    <w:rsid w:val="009C59B0"/>
    <w:rsid w:val="009C6CB0"/>
    <w:rsid w:val="009D3311"/>
    <w:rsid w:val="009D385C"/>
    <w:rsid w:val="009D48C0"/>
    <w:rsid w:val="009D70F1"/>
    <w:rsid w:val="009E2C07"/>
    <w:rsid w:val="009F2133"/>
    <w:rsid w:val="00A02AED"/>
    <w:rsid w:val="00A079EB"/>
    <w:rsid w:val="00A146EF"/>
    <w:rsid w:val="00A20760"/>
    <w:rsid w:val="00A375A2"/>
    <w:rsid w:val="00A403E4"/>
    <w:rsid w:val="00A4189B"/>
    <w:rsid w:val="00A42AD9"/>
    <w:rsid w:val="00A50158"/>
    <w:rsid w:val="00A65DD9"/>
    <w:rsid w:val="00A729EA"/>
    <w:rsid w:val="00A84216"/>
    <w:rsid w:val="00A94B5E"/>
    <w:rsid w:val="00A95039"/>
    <w:rsid w:val="00AB30EE"/>
    <w:rsid w:val="00AC3AD4"/>
    <w:rsid w:val="00AD4C7A"/>
    <w:rsid w:val="00AD5C3F"/>
    <w:rsid w:val="00AF685A"/>
    <w:rsid w:val="00B06746"/>
    <w:rsid w:val="00B14C12"/>
    <w:rsid w:val="00B272F6"/>
    <w:rsid w:val="00B35FBF"/>
    <w:rsid w:val="00B545E5"/>
    <w:rsid w:val="00B57E29"/>
    <w:rsid w:val="00B830D5"/>
    <w:rsid w:val="00B83389"/>
    <w:rsid w:val="00B939F9"/>
    <w:rsid w:val="00BA3411"/>
    <w:rsid w:val="00BB01B1"/>
    <w:rsid w:val="00BC3C93"/>
    <w:rsid w:val="00BC494F"/>
    <w:rsid w:val="00BC4F59"/>
    <w:rsid w:val="00BD29E1"/>
    <w:rsid w:val="00C01637"/>
    <w:rsid w:val="00C06279"/>
    <w:rsid w:val="00C110B2"/>
    <w:rsid w:val="00C124E3"/>
    <w:rsid w:val="00C16454"/>
    <w:rsid w:val="00C27DBF"/>
    <w:rsid w:val="00C3684D"/>
    <w:rsid w:val="00C6293F"/>
    <w:rsid w:val="00C734FD"/>
    <w:rsid w:val="00C82B3D"/>
    <w:rsid w:val="00D1720B"/>
    <w:rsid w:val="00D208CC"/>
    <w:rsid w:val="00D33308"/>
    <w:rsid w:val="00D3444F"/>
    <w:rsid w:val="00D42FD4"/>
    <w:rsid w:val="00D44307"/>
    <w:rsid w:val="00D63614"/>
    <w:rsid w:val="00D65CF2"/>
    <w:rsid w:val="00D72E73"/>
    <w:rsid w:val="00DB15E6"/>
    <w:rsid w:val="00DB3A2F"/>
    <w:rsid w:val="00DB4ED3"/>
    <w:rsid w:val="00DC0CE9"/>
    <w:rsid w:val="00DE5290"/>
    <w:rsid w:val="00E21DCC"/>
    <w:rsid w:val="00E235CF"/>
    <w:rsid w:val="00E2379C"/>
    <w:rsid w:val="00E47717"/>
    <w:rsid w:val="00E56D35"/>
    <w:rsid w:val="00E64BB3"/>
    <w:rsid w:val="00E85BF4"/>
    <w:rsid w:val="00E86F0A"/>
    <w:rsid w:val="00EB566C"/>
    <w:rsid w:val="00EC0DEE"/>
    <w:rsid w:val="00EC4A06"/>
    <w:rsid w:val="00ED0C8D"/>
    <w:rsid w:val="00EF23CB"/>
    <w:rsid w:val="00F62A99"/>
    <w:rsid w:val="00F722BB"/>
    <w:rsid w:val="00FA77A2"/>
    <w:rsid w:val="00F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7BD"/>
    <w:p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B37BD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8C0"/>
    <w:rPr>
      <w:i/>
      <w:iCs/>
    </w:rPr>
  </w:style>
  <w:style w:type="paragraph" w:customStyle="1" w:styleId="ConsPlusNormal">
    <w:name w:val="ConsPlusNormal"/>
    <w:rsid w:val="00A8421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A8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91E8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91E8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6">
    <w:name w:val="Обычный6"/>
    <w:rsid w:val="00091E8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920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2016"/>
  </w:style>
  <w:style w:type="paragraph" w:styleId="2">
    <w:name w:val="Body Text Indent 2"/>
    <w:basedOn w:val="a"/>
    <w:link w:val="20"/>
    <w:uiPriority w:val="99"/>
    <w:semiHidden/>
    <w:unhideWhenUsed/>
    <w:rsid w:val="001B3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7BD"/>
  </w:style>
  <w:style w:type="character" w:customStyle="1" w:styleId="10">
    <w:name w:val="Заголовок 1 Знак"/>
    <w:basedOn w:val="a0"/>
    <w:link w:val="1"/>
    <w:uiPriority w:val="9"/>
    <w:rsid w:val="001B37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B37B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1">
    <w:name w:val="List Continue 3"/>
    <w:basedOn w:val="a"/>
    <w:uiPriority w:val="99"/>
    <w:rsid w:val="001B37BD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B37BD"/>
    <w:pPr>
      <w:tabs>
        <w:tab w:val="left" w:pos="851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sobodytextbullet1gif">
    <w:name w:val="msobodytextbullet1.gif"/>
    <w:basedOn w:val="a"/>
    <w:rsid w:val="00D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D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63614"/>
    <w:rPr>
      <w:color w:val="0000FF"/>
      <w:u w:val="single"/>
    </w:rPr>
  </w:style>
  <w:style w:type="paragraph" w:customStyle="1" w:styleId="22">
    <w:name w:val="2"/>
    <w:basedOn w:val="a"/>
    <w:rsid w:val="003A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861906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FontStyle79">
    <w:name w:val="Font Style79"/>
    <w:uiPriority w:val="99"/>
    <w:rsid w:val="00861906"/>
    <w:rPr>
      <w:rFonts w:ascii="Times New Roman" w:hAnsi="Times New Roman" w:cs="Times New Roman" w:hint="default"/>
      <w:sz w:val="26"/>
    </w:rPr>
  </w:style>
  <w:style w:type="paragraph" w:styleId="32">
    <w:name w:val="Body Text Indent 3"/>
    <w:basedOn w:val="a"/>
    <w:link w:val="33"/>
    <w:uiPriority w:val="99"/>
    <w:semiHidden/>
    <w:unhideWhenUsed/>
    <w:rsid w:val="00B939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39F9"/>
    <w:rPr>
      <w:sz w:val="16"/>
      <w:szCs w:val="16"/>
    </w:rPr>
  </w:style>
  <w:style w:type="character" w:customStyle="1" w:styleId="FontStyle21">
    <w:name w:val="Font Style21"/>
    <w:uiPriority w:val="99"/>
    <w:rsid w:val="00912C7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912C7F"/>
    <w:pPr>
      <w:suppressAutoHyphens/>
      <w:spacing w:after="0" w:line="360" w:lineRule="auto"/>
      <w:ind w:right="424"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b">
    <w:name w:val="List Paragraph"/>
    <w:basedOn w:val="a"/>
    <w:uiPriority w:val="34"/>
    <w:qFormat/>
    <w:rsid w:val="009C59B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CF3"/>
  </w:style>
  <w:style w:type="paragraph" w:styleId="ae">
    <w:name w:val="footer"/>
    <w:basedOn w:val="a"/>
    <w:link w:val="af"/>
    <w:uiPriority w:val="99"/>
    <w:unhideWhenUsed/>
    <w:rsid w:val="0058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5CF3"/>
  </w:style>
  <w:style w:type="table" w:customStyle="1" w:styleId="11">
    <w:name w:val="Сетка таблицы1"/>
    <w:basedOn w:val="a1"/>
    <w:next w:val="aa"/>
    <w:uiPriority w:val="59"/>
    <w:rsid w:val="002132CB"/>
    <w:pPr>
      <w:spacing w:after="0" w:line="240" w:lineRule="auto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368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68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684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68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684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6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7BD"/>
    <w:pPr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1B37BD"/>
    <w:pPr>
      <w:numPr>
        <w:numId w:val="1"/>
      </w:numPr>
      <w:tabs>
        <w:tab w:val="clear" w:pos="360"/>
        <w:tab w:val="num" w:pos="643"/>
      </w:tabs>
      <w:spacing w:after="0" w:line="240" w:lineRule="auto"/>
      <w:ind w:left="643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D48C0"/>
    <w:rPr>
      <w:i/>
      <w:iCs/>
    </w:rPr>
  </w:style>
  <w:style w:type="paragraph" w:customStyle="1" w:styleId="ConsPlusNormal">
    <w:name w:val="ConsPlusNormal"/>
    <w:rsid w:val="00A8421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A8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91E8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91E8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6">
    <w:name w:val="Обычный6"/>
    <w:rsid w:val="00091E8C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39201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2016"/>
  </w:style>
  <w:style w:type="paragraph" w:styleId="2">
    <w:name w:val="Body Text Indent 2"/>
    <w:basedOn w:val="a"/>
    <w:link w:val="20"/>
    <w:uiPriority w:val="99"/>
    <w:semiHidden/>
    <w:unhideWhenUsed/>
    <w:rsid w:val="001B37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B37BD"/>
  </w:style>
  <w:style w:type="character" w:customStyle="1" w:styleId="10">
    <w:name w:val="Заголовок 1 Знак"/>
    <w:basedOn w:val="a0"/>
    <w:link w:val="1"/>
    <w:uiPriority w:val="9"/>
    <w:rsid w:val="001B37B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1B37B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1">
    <w:name w:val="List Continue 3"/>
    <w:basedOn w:val="a"/>
    <w:uiPriority w:val="99"/>
    <w:rsid w:val="001B37BD"/>
    <w:pPr>
      <w:spacing w:after="120" w:line="240" w:lineRule="auto"/>
      <w:ind w:left="84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B37BD"/>
    <w:pPr>
      <w:tabs>
        <w:tab w:val="left" w:pos="851"/>
      </w:tabs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msobodytextbullet1gif">
    <w:name w:val="msobodytextbullet1.gif"/>
    <w:basedOn w:val="a"/>
    <w:rsid w:val="00D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D6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63614"/>
    <w:rPr>
      <w:color w:val="0000FF"/>
      <w:u w:val="single"/>
    </w:rPr>
  </w:style>
  <w:style w:type="paragraph" w:customStyle="1" w:styleId="22">
    <w:name w:val="2"/>
    <w:basedOn w:val="a"/>
    <w:rsid w:val="003A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35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861906"/>
    <w:pPr>
      <w:widowControl w:val="0"/>
      <w:suppressAutoHyphens/>
      <w:autoSpaceDN w:val="0"/>
      <w:spacing w:after="12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character" w:customStyle="1" w:styleId="FontStyle79">
    <w:name w:val="Font Style79"/>
    <w:uiPriority w:val="99"/>
    <w:rsid w:val="00861906"/>
    <w:rPr>
      <w:rFonts w:ascii="Times New Roman" w:hAnsi="Times New Roman" w:cs="Times New Roman" w:hint="default"/>
      <w:sz w:val="26"/>
    </w:rPr>
  </w:style>
  <w:style w:type="paragraph" w:styleId="32">
    <w:name w:val="Body Text Indent 3"/>
    <w:basedOn w:val="a"/>
    <w:link w:val="33"/>
    <w:uiPriority w:val="99"/>
    <w:semiHidden/>
    <w:unhideWhenUsed/>
    <w:rsid w:val="00B939F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39F9"/>
    <w:rPr>
      <w:sz w:val="16"/>
      <w:szCs w:val="16"/>
    </w:rPr>
  </w:style>
  <w:style w:type="character" w:customStyle="1" w:styleId="FontStyle21">
    <w:name w:val="Font Style21"/>
    <w:uiPriority w:val="99"/>
    <w:rsid w:val="00912C7F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с отступом 21"/>
    <w:basedOn w:val="a"/>
    <w:rsid w:val="00912C7F"/>
    <w:pPr>
      <w:suppressAutoHyphens/>
      <w:spacing w:after="0" w:line="360" w:lineRule="auto"/>
      <w:ind w:right="424" w:firstLine="113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b">
    <w:name w:val="List Paragraph"/>
    <w:basedOn w:val="a"/>
    <w:uiPriority w:val="34"/>
    <w:qFormat/>
    <w:rsid w:val="009C59B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8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5CF3"/>
  </w:style>
  <w:style w:type="paragraph" w:styleId="ae">
    <w:name w:val="footer"/>
    <w:basedOn w:val="a"/>
    <w:link w:val="af"/>
    <w:uiPriority w:val="99"/>
    <w:unhideWhenUsed/>
    <w:rsid w:val="00585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5CF3"/>
  </w:style>
  <w:style w:type="table" w:customStyle="1" w:styleId="11">
    <w:name w:val="Сетка таблицы1"/>
    <w:basedOn w:val="a1"/>
    <w:next w:val="aa"/>
    <w:uiPriority w:val="59"/>
    <w:rsid w:val="002132CB"/>
    <w:pPr>
      <w:spacing w:after="0" w:line="240" w:lineRule="auto"/>
    </w:pPr>
    <w:rPr>
      <w:rFonts w:ascii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C368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3684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3684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368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3684D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36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6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3F8FB-090F-48EE-8739-A9C239F9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55</Pages>
  <Words>14888</Words>
  <Characters>84863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 Наталья Валентиновна</dc:creator>
  <cp:lastModifiedBy>Герасимова Юлия Евгеньевна</cp:lastModifiedBy>
  <cp:revision>6</cp:revision>
  <dcterms:created xsi:type="dcterms:W3CDTF">2018-08-29T16:47:00Z</dcterms:created>
  <dcterms:modified xsi:type="dcterms:W3CDTF">2018-09-13T09:47:00Z</dcterms:modified>
</cp:coreProperties>
</file>